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B9CD">
      <w:pPr>
        <w:tabs>
          <w:tab w:val="left" w:pos="4200"/>
        </w:tabs>
        <w:suppressAutoHyphens/>
        <w:spacing w:after="0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Calibri"/>
          <w:sz w:val="28"/>
          <w:szCs w:val="28"/>
        </w:rPr>
        <w:tab/>
      </w:r>
    </w:p>
    <w:p w14:paraId="55803CA3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666FA02C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10293FDA">
      <w:pPr>
        <w:suppressAutoHyphens/>
        <w:spacing w:after="0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ОДЕСЬКА МІСЬКА РАДА</w:t>
      </w:r>
    </w:p>
    <w:p w14:paraId="531D7304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091E0E25"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ПОСТІЙНА КОМІСІЯ</w:t>
      </w:r>
    </w:p>
    <w:p w14:paraId="29EB6BEE">
      <w:pPr>
        <w:spacing w:after="0"/>
        <w:jc w:val="center"/>
        <w:rPr>
          <w:rFonts w:ascii="Times New Roman" w:hAnsi="Times New Roman" w:eastAsia="Calibri" w:cs="Times New Roman"/>
          <w:b/>
          <w:sz w:val="36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79F8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391FC431">
            <w:pPr>
              <w:suppressAutoHyphens/>
              <w:spacing w:after="0"/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</w:pPr>
          </w:p>
          <w:p w14:paraId="0738F0D5">
            <w:pPr>
              <w:suppressAutoHyphens/>
              <w:spacing w:after="0"/>
              <w:jc w:val="center"/>
              <w:rPr>
                <w:rFonts w:ascii="Times New Roman" w:hAnsi="Times New Roman" w:eastAsia="Times New Roman" w:cs="Calibri"/>
                <w:b/>
                <w:szCs w:val="28"/>
              </w:rPr>
            </w:pP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hAnsi="Times New Roman" w:eastAsia="Times New Roman" w:cs="Calibri"/>
                <w:b/>
                <w:szCs w:val="28"/>
              </w:rPr>
              <w:t>.</w:t>
            </w: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14:paraId="12B9D1AA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_________________</w:t>
      </w:r>
    </w:p>
    <w:p w14:paraId="771F9A45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sz w:val="28"/>
          <w:szCs w:val="28"/>
          <w:lang w:val="uk-UA"/>
        </w:rPr>
        <w:t>на 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від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</w:p>
    <w:p w14:paraId="170034E8">
      <w:pPr>
        <w:suppressAutoHyphens/>
        <w:spacing w:after="0"/>
        <w:jc w:val="right"/>
        <w:rPr>
          <w:rFonts w:ascii="Times New Roman" w:hAnsi="Times New Roman" w:eastAsia="Times New Roman" w:cs="Calibri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┐</w:t>
      </w:r>
    </w:p>
    <w:p w14:paraId="3D9F1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F6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14:paraId="696659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26E330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C65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липня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каб. 307 </w:t>
      </w:r>
    </w:p>
    <w:p w14:paraId="083222D4">
      <w:pPr>
        <w:spacing w:after="0" w:line="240" w:lineRule="auto"/>
        <w:ind w:left="0" w:leftChars="0" w:firstLine="878" w:firstLineChars="33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E7D9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1. Обрання в.о. секретаря на засіданні постійної комісії з питань комунальної власності, економічної, інвестиційної, державної регуляторної політики та підприємництва 01 липня 2025 року.</w:t>
      </w:r>
    </w:p>
    <w:p w14:paraId="65DCB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17E0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2. Розгляд звернення директора Юридичного департаменту Одеської міської ради Інни Поповської щодо проєкту рішення “Про внесення змін до Плану діяльності Одеської міської ради з підготовки проєктів регуляторних актів на 2025 рік, затвердженого рішенням Одеської міської ради від 04 грудня 2024 року № 2564-VIII (лист Юридичного департаменту № 1648 вих від 24.06.2025 року).</w:t>
      </w:r>
      <w:bookmarkStart w:id="0" w:name="_GoBack"/>
      <w:bookmarkEnd w:id="0"/>
    </w:p>
    <w:p w14:paraId="1C079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5BEBD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3. Різне. </w:t>
      </w:r>
    </w:p>
    <w:p w14:paraId="57373B8F">
      <w:pPr>
        <w:tabs>
          <w:tab w:val="left" w:pos="935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C82AF3D">
      <w:pPr>
        <w:rPr>
          <w:lang w:val="uk-UA"/>
        </w:rPr>
      </w:pPr>
    </w:p>
    <w:p w14:paraId="0EF09E86"/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2E7B"/>
    <w:rsid w:val="2B792E7B"/>
    <w:rsid w:val="391A703F"/>
    <w:rsid w:val="5A4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2025-06-26T08:57:00Z</dcterms:created>
  <dc:creator>sov3</dc:creator>
  <cp:lastModifiedBy>sov3</cp:lastModifiedBy>
  <dcterms:modified xsi:type="dcterms:W3CDTF">2025-06-26T09:49:17Z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4DCF75928D6845A696C678A34587C571_11</vt:lpwstr>
  </property>
</Properties>
</file>