
<file path=[Content_Types].xml><?xml version="1.0" encoding="utf-8"?>
<Types xmlns="http://schemas.openxmlformats.org/package/2006/content-types">
  <Default Extension="jpeg" ContentType="image/jpeg"/>
  <Default Extension="JPG" ContentType="image/.jp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2EF53">
      <w:pPr>
        <w:tabs>
          <w:tab w:val="left" w:pos="4200"/>
        </w:tabs>
        <w:suppressAutoHyphens/>
        <w:textAlignment w:val="baseline"/>
        <w:rPr>
          <w:rFonts w:eastAsia="Calibri"/>
          <w:kern w:val="3"/>
          <w:sz w:val="20"/>
          <w:szCs w:val="20"/>
          <w:lang w:bidi="hi-IN"/>
        </w:rPr>
      </w:pPr>
      <w:r>
        <w:rPr>
          <w:rFonts w:eastAsia="Calibri"/>
          <w:kern w:val="3"/>
          <w:sz w:val="20"/>
          <w:szCs w:val="20"/>
          <w:lang w:eastAsia="uk-UA"/>
        </w:rPr>
        <w:drawing>
          <wp:anchor distT="0" distB="0" distL="114300" distR="114300" simplePos="0" relativeHeight="251659264" behindDoc="1" locked="0" layoutInCell="1" allowOverlap="1">
            <wp:simplePos x="0" y="0"/>
            <wp:positionH relativeFrom="column">
              <wp:posOffset>2463165</wp:posOffset>
            </wp:positionH>
            <wp:positionV relativeFrom="paragraph">
              <wp:posOffset>-151130</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r>
        <w:rPr>
          <w:rFonts w:eastAsia="Calibri"/>
          <w:kern w:val="3"/>
          <w:sz w:val="20"/>
          <w:szCs w:val="20"/>
          <w:lang w:bidi="hi-IN"/>
        </w:rPr>
        <w:tab/>
      </w:r>
    </w:p>
    <w:p w14:paraId="1E0A1126">
      <w:pPr>
        <w:suppressAutoHyphens/>
        <w:textAlignment w:val="baseline"/>
        <w:rPr>
          <w:rFonts w:eastAsia="Calibri"/>
          <w:b/>
          <w:kern w:val="3"/>
          <w:sz w:val="48"/>
          <w:szCs w:val="32"/>
          <w:lang w:bidi="hi-IN"/>
        </w:rPr>
      </w:pPr>
    </w:p>
    <w:p w14:paraId="53BFA0FB">
      <w:pPr>
        <w:suppressAutoHyphens/>
        <w:ind w:right="-143"/>
        <w:textAlignment w:val="baseline"/>
        <w:rPr>
          <w:rFonts w:eastAsia="Calibri"/>
          <w:b/>
          <w:kern w:val="3"/>
          <w:sz w:val="32"/>
          <w:szCs w:val="32"/>
          <w:lang w:bidi="hi-IN"/>
        </w:rPr>
      </w:pPr>
    </w:p>
    <w:p w14:paraId="1357D696">
      <w:pPr>
        <w:suppressAutoHyphens/>
        <w:ind w:right="-143"/>
        <w:jc w:val="center"/>
        <w:textAlignment w:val="baseline"/>
        <w:rPr>
          <w:rFonts w:eastAsia="Calibri"/>
          <w:kern w:val="3"/>
          <w:szCs w:val="32"/>
          <w:lang w:bidi="hi-IN"/>
        </w:rPr>
      </w:pPr>
      <w:r>
        <w:rPr>
          <w:rFonts w:eastAsia="Calibri"/>
          <w:kern w:val="3"/>
          <w:szCs w:val="32"/>
          <w:lang w:bidi="hi-IN"/>
        </w:rPr>
        <w:t>ОДЕСЬКА МІСЬКА РАДА</w:t>
      </w:r>
    </w:p>
    <w:p w14:paraId="7B015147">
      <w:pPr>
        <w:suppressAutoHyphens/>
        <w:ind w:right="-143"/>
        <w:textAlignment w:val="baseline"/>
        <w:rPr>
          <w:rFonts w:eastAsia="Calibri"/>
          <w:b/>
          <w:kern w:val="3"/>
          <w:sz w:val="16"/>
          <w:szCs w:val="16"/>
          <w:lang w:bidi="hi-IN"/>
        </w:rPr>
      </w:pPr>
    </w:p>
    <w:p w14:paraId="10C12D0A">
      <w:pPr>
        <w:suppressAutoHyphens/>
        <w:ind w:right="-143"/>
        <w:jc w:val="center"/>
        <w:textAlignment w:val="baseline"/>
        <w:rPr>
          <w:rFonts w:eastAsia="Calibri"/>
          <w:b/>
          <w:kern w:val="3"/>
          <w:sz w:val="32"/>
          <w:szCs w:val="32"/>
          <w:lang w:bidi="hi-IN"/>
        </w:rPr>
      </w:pPr>
      <w:r>
        <w:rPr>
          <w:rFonts w:eastAsia="Calibri"/>
          <w:b/>
          <w:kern w:val="3"/>
          <w:sz w:val="32"/>
          <w:szCs w:val="32"/>
          <w:lang w:bidi="hi-IN"/>
        </w:rPr>
        <w:t>ПОСТІЙНА КОМІСІЯ</w:t>
      </w:r>
    </w:p>
    <w:p w14:paraId="63B29C42">
      <w:pPr>
        <w:suppressAutoHyphens/>
        <w:ind w:right="-143"/>
        <w:jc w:val="center"/>
        <w:textAlignment w:val="baseline"/>
        <w:rPr>
          <w:rFonts w:eastAsia="Calibri"/>
          <w:b/>
          <w:kern w:val="3"/>
          <w:sz w:val="36"/>
          <w:szCs w:val="32"/>
          <w:lang w:bidi="hi-IN"/>
        </w:rPr>
      </w:pPr>
      <w:r>
        <w:rPr>
          <w:rFonts w:eastAsia="Calibri"/>
          <w:b/>
          <w:kern w:val="3"/>
          <w:sz w:val="32"/>
          <w:szCs w:val="32"/>
          <w:lang w:bidi="hi-IN"/>
        </w:rPr>
        <w:t>З ПИТАНЬ ПЛАНУВАННЯ, БЮДЖЕТУ І ФІНАНСІВ</w:t>
      </w:r>
    </w:p>
    <w:tbl>
      <w:tblPr>
        <w:tblStyle w:val="3"/>
        <w:tblW w:w="0" w:type="auto"/>
        <w:tblInd w:w="108" w:type="dxa"/>
        <w:tblLayout w:type="autofit"/>
        <w:tblCellMar>
          <w:top w:w="0" w:type="dxa"/>
          <w:left w:w="108" w:type="dxa"/>
          <w:bottom w:w="0" w:type="dxa"/>
          <w:right w:w="108" w:type="dxa"/>
        </w:tblCellMar>
      </w:tblPr>
      <w:tblGrid>
        <w:gridCol w:w="9463"/>
      </w:tblGrid>
      <w:tr w14:paraId="5211E216">
        <w:tblPrEx>
          <w:tblCellMar>
            <w:top w:w="0" w:type="dxa"/>
            <w:left w:w="108" w:type="dxa"/>
            <w:bottom w:w="0" w:type="dxa"/>
            <w:right w:w="108" w:type="dxa"/>
          </w:tblCellMar>
        </w:tblPrEx>
        <w:tc>
          <w:tcPr>
            <w:tcW w:w="9463" w:type="dxa"/>
            <w:tcBorders>
              <w:top w:val="nil"/>
              <w:left w:val="nil"/>
              <w:bottom w:val="thinThickMediumGap" w:color="auto" w:sz="18" w:space="0"/>
              <w:right w:val="nil"/>
            </w:tcBorders>
            <w:vAlign w:val="center"/>
          </w:tcPr>
          <w:p w14:paraId="74FB80F5">
            <w:pPr>
              <w:suppressAutoHyphens/>
              <w:ind w:left="-56"/>
              <w:textAlignment w:val="baseline"/>
              <w:rPr>
                <w:rFonts w:eastAsia="Calibri"/>
                <w:b/>
                <w:kern w:val="3"/>
                <w:sz w:val="16"/>
                <w:szCs w:val="26"/>
                <w:lang w:bidi="hi-IN"/>
              </w:rPr>
            </w:pPr>
          </w:p>
          <w:p w14:paraId="11DD9055">
            <w:pPr>
              <w:suppressAutoHyphens/>
              <w:ind w:left="-56"/>
              <w:jc w:val="center"/>
              <w:textAlignment w:val="baseline"/>
              <w:rPr>
                <w:rFonts w:eastAsia="Calibri"/>
                <w:b/>
                <w:kern w:val="3"/>
                <w:szCs w:val="26"/>
                <w:lang w:bidi="hi-IN"/>
              </w:rPr>
            </w:pPr>
            <w:r>
              <w:rPr>
                <w:rFonts w:eastAsia="Calibri"/>
                <w:b/>
                <w:szCs w:val="26"/>
              </w:rPr>
              <w:t>пл. Біржова, 1, м. Одеса, 65026, Україна</w:t>
            </w:r>
          </w:p>
        </w:tc>
      </w:tr>
    </w:tbl>
    <w:p w14:paraId="3706CD1B">
      <w:pPr>
        <w:suppressAutoHyphens/>
        <w:jc w:val="both"/>
        <w:textAlignment w:val="baseline"/>
        <w:rPr>
          <w:rFonts w:eastAsia="Calibri"/>
          <w:b/>
          <w:kern w:val="3"/>
          <w:sz w:val="20"/>
          <w:szCs w:val="26"/>
          <w:lang w:bidi="hi-IN"/>
        </w:rPr>
      </w:pPr>
    </w:p>
    <w:p w14:paraId="0334C3D0">
      <w:pPr>
        <w:suppressAutoHyphens/>
        <w:ind w:left="-56"/>
        <w:jc w:val="both"/>
        <w:textAlignment w:val="baseline"/>
        <w:rPr>
          <w:rFonts w:eastAsia="Calibri"/>
          <w:b/>
          <w:kern w:val="3"/>
          <w:sz w:val="28"/>
          <w:szCs w:val="28"/>
          <w:lang w:bidi="hi-IN"/>
        </w:rPr>
      </w:pPr>
      <w:r>
        <w:rPr>
          <w:rFonts w:eastAsia="Calibri"/>
          <w:b/>
          <w:kern w:val="3"/>
          <w:sz w:val="28"/>
          <w:szCs w:val="28"/>
          <w:lang w:bidi="hi-IN"/>
        </w:rPr>
        <w:t xml:space="preserve"> ________________</w:t>
      </w:r>
      <w:r>
        <w:rPr>
          <w:rFonts w:eastAsia="Calibri"/>
          <w:kern w:val="3"/>
          <w:sz w:val="28"/>
          <w:szCs w:val="28"/>
          <w:lang w:bidi="hi-IN"/>
        </w:rPr>
        <w:t>№</w:t>
      </w:r>
      <w:r>
        <w:rPr>
          <w:rFonts w:eastAsia="Calibri"/>
          <w:b/>
          <w:kern w:val="3"/>
          <w:sz w:val="28"/>
          <w:szCs w:val="28"/>
          <w:lang w:bidi="hi-IN"/>
        </w:rPr>
        <w:t>_________________</w:t>
      </w:r>
    </w:p>
    <w:p w14:paraId="67BDC160">
      <w:pPr>
        <w:suppressAutoHyphens/>
        <w:ind w:left="-56"/>
        <w:jc w:val="both"/>
        <w:textAlignment w:val="baseline"/>
        <w:rPr>
          <w:rFonts w:eastAsia="Calibri"/>
          <w:kern w:val="3"/>
          <w:sz w:val="6"/>
          <w:szCs w:val="26"/>
          <w:lang w:bidi="hi-IN"/>
        </w:rPr>
      </w:pPr>
    </w:p>
    <w:p w14:paraId="0145D4D7">
      <w:pPr>
        <w:tabs>
          <w:tab w:val="left" w:pos="4536"/>
        </w:tabs>
        <w:suppressAutoHyphens/>
        <w:ind w:right="-108"/>
        <w:jc w:val="both"/>
        <w:textAlignment w:val="baseline"/>
        <w:rPr>
          <w:rFonts w:eastAsia="Calibri"/>
          <w:kern w:val="3"/>
          <w:szCs w:val="26"/>
          <w:lang w:bidi="hi-IN"/>
        </w:rPr>
      </w:pPr>
      <w:r>
        <w:rPr>
          <w:rFonts w:eastAsia="Calibri"/>
          <w:kern w:val="3"/>
          <w:sz w:val="26"/>
          <w:szCs w:val="26"/>
          <w:lang w:bidi="hi-IN"/>
        </w:rPr>
        <w:t>на №</w:t>
      </w:r>
      <w:r>
        <w:rPr>
          <w:rFonts w:eastAsia="Calibri"/>
          <w:b/>
          <w:kern w:val="3"/>
          <w:sz w:val="26"/>
          <w:szCs w:val="26"/>
          <w:lang w:bidi="hi-IN"/>
        </w:rPr>
        <w:t>______________</w:t>
      </w:r>
      <w:r>
        <w:rPr>
          <w:rFonts w:eastAsia="Calibri"/>
          <w:kern w:val="3"/>
          <w:sz w:val="26"/>
          <w:szCs w:val="26"/>
          <w:lang w:bidi="hi-IN"/>
        </w:rPr>
        <w:t>від</w:t>
      </w:r>
      <w:r>
        <w:rPr>
          <w:rFonts w:eastAsia="Calibri"/>
          <w:b/>
          <w:kern w:val="3"/>
          <w:sz w:val="26"/>
          <w:szCs w:val="26"/>
          <w:lang w:bidi="hi-IN"/>
        </w:rPr>
        <w:t>______________</w:t>
      </w:r>
    </w:p>
    <w:p w14:paraId="0B7C0A57">
      <w:pPr>
        <w:suppressAutoHyphens/>
        <w:ind w:firstLine="425"/>
        <w:jc w:val="right"/>
        <w:textAlignment w:val="baseline"/>
        <w:rPr>
          <w:rFonts w:eastAsia="Noto Sans CJK SC Regular"/>
          <w:kern w:val="3"/>
          <w:lang w:eastAsia="zh-CN" w:bidi="hi-IN"/>
        </w:rPr>
      </w:pPr>
      <w:r>
        <w:rPr>
          <w:b/>
          <w:kern w:val="3"/>
          <w:sz w:val="28"/>
          <w:szCs w:val="28"/>
          <w:lang w:eastAsia="zh-CN" w:bidi="hi-IN"/>
        </w:rPr>
        <w:t>┌</w:t>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w:t>
      </w:r>
    </w:p>
    <w:p w14:paraId="5047CDF1">
      <w:pPr>
        <w:suppressAutoHyphens/>
        <w:ind w:firstLine="567"/>
        <w:jc w:val="center"/>
        <w:textAlignment w:val="baseline"/>
        <w:rPr>
          <w:rFonts w:eastAsia="Noto Sans CJK SC Regular"/>
          <w:b/>
          <w:kern w:val="3"/>
          <w:sz w:val="28"/>
          <w:szCs w:val="28"/>
          <w:lang w:eastAsia="zh-CN" w:bidi="hi-IN"/>
        </w:rPr>
      </w:pPr>
    </w:p>
    <w:p w14:paraId="024F5A93">
      <w:pPr>
        <w:suppressAutoHyphens/>
        <w:ind w:firstLine="567"/>
        <w:jc w:val="center"/>
        <w:textAlignment w:val="baseline"/>
        <w:rPr>
          <w:rFonts w:eastAsia="Noto Sans CJK SC Regular"/>
          <w:b/>
          <w:kern w:val="3"/>
          <w:sz w:val="28"/>
          <w:szCs w:val="28"/>
          <w:lang w:eastAsia="zh-CN" w:bidi="hi-IN"/>
        </w:rPr>
      </w:pPr>
    </w:p>
    <w:p w14:paraId="352E13E2">
      <w:pPr>
        <w:suppressAutoHyphens/>
        <w:ind w:firstLine="567"/>
        <w:jc w:val="center"/>
        <w:textAlignment w:val="baseline"/>
        <w:rPr>
          <w:rFonts w:eastAsia="Noto Sans CJK SC Regular"/>
          <w:b/>
          <w:kern w:val="3"/>
          <w:sz w:val="28"/>
          <w:szCs w:val="28"/>
          <w:lang w:eastAsia="zh-CN" w:bidi="hi-IN"/>
        </w:rPr>
      </w:pPr>
      <w:r>
        <w:rPr>
          <w:rFonts w:eastAsia="Noto Sans CJK SC Regular"/>
          <w:b/>
          <w:kern w:val="3"/>
          <w:sz w:val="28"/>
          <w:szCs w:val="28"/>
          <w:lang w:eastAsia="zh-CN" w:bidi="hi-IN"/>
        </w:rPr>
        <w:t>ПОРЯДОК  ДЕННИЙ</w:t>
      </w:r>
    </w:p>
    <w:p w14:paraId="20954DF4">
      <w:pPr>
        <w:suppressAutoHyphens/>
        <w:ind w:firstLine="567"/>
        <w:jc w:val="center"/>
        <w:textAlignment w:val="baseline"/>
        <w:rPr>
          <w:rFonts w:eastAsia="Noto Sans CJK SC Regular"/>
          <w:kern w:val="3"/>
          <w:sz w:val="28"/>
          <w:szCs w:val="28"/>
          <w:lang w:eastAsia="zh-CN" w:bidi="hi-IN"/>
        </w:rPr>
      </w:pPr>
      <w:r>
        <w:rPr>
          <w:rFonts w:eastAsia="Noto Sans CJK SC Regular"/>
          <w:kern w:val="3"/>
          <w:sz w:val="28"/>
          <w:szCs w:val="28"/>
          <w:lang w:eastAsia="zh-CN" w:bidi="hi-IN"/>
        </w:rPr>
        <w:t>засідання комісії</w:t>
      </w:r>
    </w:p>
    <w:p w14:paraId="07819313">
      <w:pPr>
        <w:suppressAutoHyphens/>
        <w:ind w:firstLine="567"/>
        <w:jc w:val="center"/>
        <w:textAlignment w:val="baseline"/>
        <w:rPr>
          <w:rFonts w:eastAsia="Noto Sans CJK SC Regular"/>
          <w:b/>
          <w:kern w:val="3"/>
          <w:sz w:val="28"/>
          <w:szCs w:val="28"/>
          <w:lang w:eastAsia="zh-CN" w:bidi="hi-IN"/>
        </w:rPr>
      </w:pPr>
    </w:p>
    <w:p w14:paraId="1C61E537">
      <w:pPr>
        <w:suppressAutoHyphens/>
        <w:ind w:firstLine="567"/>
        <w:jc w:val="center"/>
        <w:textAlignment w:val="baseline"/>
        <w:rPr>
          <w:rFonts w:eastAsia="Noto Sans CJK SC Regular"/>
          <w:b/>
          <w:kern w:val="3"/>
          <w:sz w:val="28"/>
          <w:szCs w:val="28"/>
          <w:lang w:eastAsia="zh-CN" w:bidi="hi-IN"/>
        </w:rPr>
      </w:pPr>
      <w:r>
        <w:rPr>
          <w:rFonts w:hint="default" w:eastAsia="Noto Sans CJK SC Regular"/>
          <w:b/>
          <w:kern w:val="3"/>
          <w:sz w:val="28"/>
          <w:szCs w:val="28"/>
          <w:lang w:val="uk-UA" w:eastAsia="zh-CN" w:bidi="hi-IN"/>
        </w:rPr>
        <w:t>29</w:t>
      </w:r>
      <w:r>
        <w:rPr>
          <w:rFonts w:eastAsia="Noto Sans CJK SC Regular"/>
          <w:b/>
          <w:kern w:val="3"/>
          <w:sz w:val="28"/>
          <w:szCs w:val="28"/>
          <w:lang w:eastAsia="zh-CN" w:bidi="hi-IN"/>
        </w:rPr>
        <w:t xml:space="preserve"> </w:t>
      </w:r>
      <w:r>
        <w:rPr>
          <w:rFonts w:eastAsia="Noto Sans CJK SC Regular"/>
          <w:b/>
          <w:kern w:val="3"/>
          <w:sz w:val="28"/>
          <w:szCs w:val="28"/>
          <w:lang w:val="uk-UA" w:eastAsia="zh-CN" w:bidi="hi-IN"/>
        </w:rPr>
        <w:t>жовтня</w:t>
      </w:r>
      <w:r>
        <w:rPr>
          <w:rFonts w:hint="default" w:eastAsia="Noto Sans CJK SC Regular"/>
          <w:b/>
          <w:kern w:val="3"/>
          <w:sz w:val="28"/>
          <w:szCs w:val="28"/>
          <w:lang w:val="uk-UA" w:eastAsia="zh-CN" w:bidi="hi-IN"/>
        </w:rPr>
        <w:t xml:space="preserve"> </w:t>
      </w:r>
      <w:r>
        <w:rPr>
          <w:rFonts w:eastAsia="Noto Sans CJK SC Regular"/>
          <w:b/>
          <w:kern w:val="3"/>
          <w:sz w:val="28"/>
          <w:szCs w:val="28"/>
          <w:lang w:eastAsia="zh-CN" w:bidi="hi-IN"/>
        </w:rPr>
        <w:t xml:space="preserve">2025  рік           </w:t>
      </w:r>
      <w:r>
        <w:rPr>
          <w:rFonts w:eastAsia="Noto Sans CJK SC Regular"/>
          <w:b/>
          <w:kern w:val="3"/>
          <w:sz w:val="28"/>
          <w:szCs w:val="28"/>
          <w:lang w:val="ru-RU" w:eastAsia="zh-CN" w:bidi="hi-IN"/>
        </w:rPr>
        <w:t>1</w:t>
      </w:r>
      <w:r>
        <w:rPr>
          <w:rFonts w:hint="default" w:eastAsia="Noto Sans CJK SC Regular"/>
          <w:b/>
          <w:kern w:val="3"/>
          <w:sz w:val="28"/>
          <w:szCs w:val="28"/>
          <w:lang w:val="uk-UA" w:eastAsia="zh-CN" w:bidi="hi-IN"/>
        </w:rPr>
        <w:t>3</w:t>
      </w:r>
      <w:r>
        <w:rPr>
          <w:rFonts w:eastAsia="Noto Sans CJK SC Regular"/>
          <w:b/>
          <w:kern w:val="3"/>
          <w:sz w:val="28"/>
          <w:szCs w:val="28"/>
          <w:lang w:eastAsia="zh-CN" w:bidi="hi-IN"/>
        </w:rPr>
        <w:t>-</w:t>
      </w:r>
      <w:r>
        <w:rPr>
          <w:rFonts w:hint="default" w:eastAsia="Noto Sans CJK SC Regular"/>
          <w:b/>
          <w:kern w:val="3"/>
          <w:sz w:val="28"/>
          <w:szCs w:val="28"/>
          <w:lang w:val="uk-UA" w:eastAsia="zh-CN" w:bidi="hi-IN"/>
        </w:rPr>
        <w:t>0</w:t>
      </w:r>
      <w:r>
        <w:rPr>
          <w:rFonts w:eastAsia="Noto Sans CJK SC Regular"/>
          <w:b/>
          <w:kern w:val="3"/>
          <w:sz w:val="28"/>
          <w:szCs w:val="28"/>
          <w:lang w:eastAsia="zh-CN" w:bidi="hi-IN"/>
        </w:rPr>
        <w:t xml:space="preserve">0                 каб. 307 </w:t>
      </w:r>
    </w:p>
    <w:p w14:paraId="24FC286F">
      <w:pPr>
        <w:suppressAutoHyphens/>
        <w:ind w:firstLine="567"/>
        <w:jc w:val="center"/>
        <w:textAlignment w:val="baseline"/>
        <w:rPr>
          <w:rFonts w:eastAsia="Noto Sans CJK SC Regular"/>
          <w:b/>
          <w:kern w:val="3"/>
          <w:sz w:val="28"/>
          <w:szCs w:val="28"/>
          <w:lang w:eastAsia="zh-CN" w:bidi="hi-IN"/>
        </w:rPr>
      </w:pPr>
    </w:p>
    <w:p w14:paraId="0EC9869A">
      <w:pPr>
        <w:numPr>
          <w:ilvl w:val="0"/>
          <w:numId w:val="1"/>
        </w:numPr>
        <w:shd w:val="clear" w:color="auto" w:fill="FFFFFF"/>
        <w:autoSpaceDE/>
        <w:ind w:firstLine="567"/>
        <w:jc w:val="both"/>
        <w:rPr>
          <w:rFonts w:hint="default"/>
          <w:sz w:val="28"/>
          <w:szCs w:val="28"/>
          <w:lang w:val="uk-UA"/>
        </w:rPr>
      </w:pPr>
      <w:r>
        <w:rPr>
          <w:bCs/>
          <w:sz w:val="28"/>
          <w:szCs w:val="28"/>
          <w:lang w:eastAsia="uk-UA"/>
        </w:rPr>
        <w:t>Інформація</w:t>
      </w:r>
      <w:r>
        <w:rPr>
          <w:rFonts w:hint="default"/>
          <w:bCs/>
          <w:sz w:val="28"/>
          <w:szCs w:val="28"/>
          <w:lang w:val="en-US" w:eastAsia="uk-UA"/>
        </w:rPr>
        <w:t xml:space="preserve"> про виконання бюджету </w:t>
      </w:r>
      <w:r>
        <w:rPr>
          <w:sz w:val="28"/>
          <w:szCs w:val="28"/>
        </w:rPr>
        <w:t xml:space="preserve">Одеської міської територіальної громади </w:t>
      </w:r>
      <w:r>
        <w:rPr>
          <w:rFonts w:hint="default"/>
          <w:sz w:val="28"/>
          <w:szCs w:val="28"/>
          <w:lang w:val="uk-UA"/>
        </w:rPr>
        <w:t>станом на 01.10.2025 року.</w:t>
      </w:r>
    </w:p>
    <w:p w14:paraId="3630D955">
      <w:pPr>
        <w:numPr>
          <w:ilvl w:val="0"/>
          <w:numId w:val="0"/>
        </w:numPr>
        <w:shd w:val="clear" w:color="auto" w:fill="FFFFFF"/>
        <w:autoSpaceDE/>
        <w:jc w:val="both"/>
        <w:rPr>
          <w:rFonts w:hint="default"/>
          <w:sz w:val="28"/>
          <w:szCs w:val="28"/>
          <w:lang w:val="uk-UA"/>
        </w:rPr>
      </w:pPr>
    </w:p>
    <w:p w14:paraId="2A063AE9">
      <w:pPr>
        <w:numPr>
          <w:ilvl w:val="0"/>
          <w:numId w:val="0"/>
        </w:numPr>
        <w:shd w:val="clear" w:color="auto" w:fill="FFFFFF"/>
        <w:autoSpaceDE/>
        <w:jc w:val="both"/>
        <w:rPr>
          <w:rFonts w:hint="default"/>
          <w:sz w:val="28"/>
          <w:szCs w:val="28"/>
          <w:lang w:val="uk-UA" w:eastAsia="zh-CN"/>
        </w:rPr>
      </w:pPr>
    </w:p>
    <w:p w14:paraId="2A4AEAF8">
      <w:pPr>
        <w:numPr>
          <w:ilvl w:val="0"/>
          <w:numId w:val="1"/>
        </w:numPr>
        <w:shd w:val="clear" w:color="auto" w:fill="FFFFFF"/>
        <w:autoSpaceDE/>
        <w:ind w:firstLine="567"/>
        <w:jc w:val="both"/>
        <w:rPr>
          <w:rFonts w:hint="default"/>
          <w:sz w:val="28"/>
          <w:szCs w:val="28"/>
          <w:lang w:val="uk-UA" w:eastAsia="zh-CN"/>
        </w:rPr>
      </w:pPr>
      <w:r>
        <w:rPr>
          <w:rFonts w:hint="default"/>
          <w:sz w:val="28"/>
          <w:szCs w:val="28"/>
          <w:lang w:val="uk-UA" w:eastAsia="zh-CN"/>
        </w:rPr>
        <w:t xml:space="preserve">Різне. </w:t>
      </w:r>
    </w:p>
    <w:p w14:paraId="642CE34F">
      <w:pPr>
        <w:ind w:firstLine="567"/>
        <w:jc w:val="both"/>
        <w:rPr>
          <w:color w:val="000000" w:themeColor="text1"/>
          <w:sz w:val="28"/>
          <w:szCs w:val="28"/>
          <w:shd w:val="clear" w:color="auto" w:fill="FFFFFF"/>
          <w:lang w:val="ru-RU" w:eastAsia="uk-UA"/>
          <w14:textFill>
            <w14:solidFill>
              <w14:schemeClr w14:val="tx1"/>
            </w14:solidFill>
          </w14:textFill>
        </w:rPr>
      </w:pPr>
    </w:p>
    <w:p w14:paraId="2AF355E9"/>
    <w:p w14:paraId="61CC93AF">
      <w:bookmarkStart w:id="0" w:name="_GoBack"/>
      <w:bookmarkEnd w:id="0"/>
    </w:p>
    <w:p w14:paraId="4B464190"/>
    <w:p w14:paraId="517B043E"/>
    <w:p w14:paraId="0424D326"/>
    <w:p w14:paraId="4F1BA5F6"/>
    <w:p w14:paraId="377B42EA"/>
    <w:p w14:paraId="4EF7FDA6"/>
    <w:p w14:paraId="4B29CBCC"/>
    <w:p w14:paraId="710DC122"/>
    <w:p w14:paraId="46190610"/>
    <w:p w14:paraId="7A166EC4"/>
    <w:p w14:paraId="6C54E05E"/>
    <w:p w14:paraId="7DEF0AD0"/>
    <w:p w14:paraId="0FB6152B"/>
    <w:p w14:paraId="7C9FAF60"/>
    <w:p w14:paraId="10633719"/>
    <w:p w14:paraId="7EFFC649"/>
    <w:p w14:paraId="54DD6A5F"/>
    <w:p w14:paraId="43AA6C5C"/>
    <w:p w14:paraId="0E6FF8A5"/>
    <w:p w14:paraId="11EC6DD2"/>
    <w:p w14:paraId="031FFC67">
      <w:pPr>
        <w:ind w:left="5664"/>
        <w:rPr>
          <w:rFonts w:eastAsiaTheme="minorEastAsia"/>
        </w:rPr>
      </w:pPr>
    </w:p>
    <w:p w14:paraId="39E3C5DD">
      <w:pPr>
        <w:ind w:left="5664"/>
        <w:rPr>
          <w:rFonts w:eastAsiaTheme="minorEastAsia"/>
        </w:rPr>
      </w:pPr>
    </w:p>
    <w:p w14:paraId="4CD53F46">
      <w:pPr>
        <w:ind w:left="5664"/>
        <w:rPr>
          <w:rFonts w:eastAsiaTheme="minorEastAsia"/>
          <w:sz w:val="28"/>
        </w:rPr>
      </w:pPr>
    </w:p>
    <w:p w14:paraId="23762DA7">
      <w:pPr>
        <w:ind w:left="5664"/>
        <w:rPr>
          <w:rFonts w:eastAsiaTheme="minorEastAsia"/>
          <w:sz w:val="28"/>
        </w:rPr>
      </w:pPr>
    </w:p>
    <w:p w14:paraId="200A6713">
      <w:pPr>
        <w:ind w:left="5664"/>
        <w:rPr>
          <w:rFonts w:eastAsiaTheme="minorEastAsia"/>
          <w:sz w:val="28"/>
        </w:rPr>
      </w:pPr>
    </w:p>
    <w:p w14:paraId="35C207EB">
      <w:pPr>
        <w:ind w:left="5664"/>
        <w:rPr>
          <w:rFonts w:eastAsiaTheme="minorEastAsia"/>
          <w:sz w:val="28"/>
        </w:rPr>
      </w:pPr>
    </w:p>
    <w:p w14:paraId="7DB7A205">
      <w:pPr>
        <w:ind w:left="5664"/>
        <w:rPr>
          <w:rFonts w:eastAsiaTheme="minorEastAsia"/>
          <w:sz w:val="28"/>
        </w:rPr>
      </w:pPr>
    </w:p>
    <w:p w14:paraId="322CC3F5">
      <w:pPr>
        <w:ind w:left="5664"/>
        <w:rPr>
          <w:rFonts w:eastAsiaTheme="minorEastAsia"/>
          <w:sz w:val="28"/>
        </w:rPr>
      </w:pPr>
    </w:p>
    <w:p w14:paraId="324C8195">
      <w:pPr>
        <w:ind w:left="5664"/>
        <w:rPr>
          <w:rFonts w:eastAsiaTheme="minorEastAsia"/>
          <w:sz w:val="28"/>
        </w:rPr>
      </w:pPr>
    </w:p>
    <w:p w14:paraId="6DA13F8B">
      <w:pPr>
        <w:ind w:left="5664"/>
        <w:rPr>
          <w:rFonts w:eastAsiaTheme="minorEastAsia"/>
          <w:sz w:val="28"/>
        </w:rPr>
      </w:pPr>
    </w:p>
    <w:p w14:paraId="12A5A36E">
      <w:pPr>
        <w:ind w:left="5664"/>
        <w:rPr>
          <w:rFonts w:eastAsiaTheme="minorEastAsia"/>
          <w:sz w:val="28"/>
        </w:rPr>
      </w:pPr>
      <w:r>
        <w:rPr>
          <w:rFonts w:eastAsiaTheme="minorEastAsia"/>
          <w:sz w:val="28"/>
        </w:rPr>
        <w:t>Голові постійної комісії з питань планування, бюджету і фінансів Одеської міської ради</w:t>
      </w:r>
    </w:p>
    <w:p w14:paraId="65CE1D42">
      <w:pPr>
        <w:ind w:left="5664"/>
        <w:rPr>
          <w:rFonts w:eastAsiaTheme="minorEastAsia"/>
          <w:sz w:val="28"/>
        </w:rPr>
      </w:pPr>
      <w:r>
        <w:rPr>
          <w:rFonts w:eastAsiaTheme="minorEastAsia"/>
          <w:sz w:val="28"/>
        </w:rPr>
        <w:t>Олексію ПОТАПСЬКОМУ</w:t>
      </w:r>
    </w:p>
    <w:p w14:paraId="49D15964">
      <w:pPr>
        <w:tabs>
          <w:tab w:val="left" w:pos="5400"/>
        </w:tabs>
        <w:ind w:left="4956"/>
        <w:rPr>
          <w:sz w:val="28"/>
          <w:szCs w:val="28"/>
          <w:lang w:val="ru-RU"/>
        </w:rPr>
      </w:pPr>
    </w:p>
    <w:p w14:paraId="18A2D6AC">
      <w:pPr>
        <w:jc w:val="both"/>
        <w:rPr>
          <w:sz w:val="26"/>
          <w:szCs w:val="26"/>
        </w:rPr>
      </w:pPr>
      <w:r>
        <w:rPr>
          <w:sz w:val="28"/>
          <w:szCs w:val="28"/>
          <w:lang w:val="ru-RU"/>
        </w:rPr>
        <w:t xml:space="preserve">          </w:t>
      </w:r>
      <w:r>
        <w:rPr>
          <w:sz w:val="26"/>
          <w:szCs w:val="26"/>
        </w:rPr>
        <w:t xml:space="preserve">Пунктом 8.4 «Надання адресної матеріальної допомоги згідно з розпорядженнями голів районних адміністрацій Одеської міської ради» Міської цільової програми надання соціальних послуг та інших видів допомоги вразливим верствам населення міста Одеси на 2024 – 2028 роки, затвердженої рішенням Одеської міської ради від 29 листопада 2023 року № 1622-VIІI (зі змінами) Київській районній адміністрації Одеської міської ради на 2025 рік визначено орієнтовний обсяг фінансування у сумі 52 902 800 грн. </w:t>
      </w:r>
    </w:p>
    <w:p w14:paraId="7C978058">
      <w:pPr>
        <w:jc w:val="both"/>
        <w:rPr>
          <w:sz w:val="26"/>
          <w:szCs w:val="26"/>
        </w:rPr>
      </w:pPr>
      <w:r>
        <w:rPr>
          <w:sz w:val="26"/>
          <w:szCs w:val="26"/>
        </w:rPr>
        <w:t xml:space="preserve">      Після стихійного лиха, яке сталося в місті Одеса 30.09.2025 року (злива), у Київському районі міста Одеси постраждало 168 приватних будинків та 94 квартири. </w:t>
      </w:r>
    </w:p>
    <w:p w14:paraId="047B6C3D">
      <w:pPr>
        <w:jc w:val="both"/>
        <w:rPr>
          <w:sz w:val="26"/>
          <w:szCs w:val="26"/>
        </w:rPr>
      </w:pPr>
      <w:r>
        <w:rPr>
          <w:sz w:val="26"/>
          <w:szCs w:val="26"/>
        </w:rPr>
        <w:t xml:space="preserve">      Станом на 20.10.2025 року прийнято 127 заяв від мешканців, житло яких постраждало від зазначеного стихійного лиха, загальна сума належної матеріальної допомоги по яких склала 20 118 800 грн. Наразі очікується звернення ще 135 власників пошкодженого житла, орієнтовна сума матеріальної допомоги для них складає 20 002 000 грн. Таким чином, загальна потреба в коштах на виплату матеріальної допомоги постраждалим від стихійного лиха становить </w:t>
      </w:r>
      <w:r>
        <w:rPr>
          <w:b/>
          <w:sz w:val="26"/>
          <w:szCs w:val="26"/>
        </w:rPr>
        <w:t>40 120 800 грн</w:t>
      </w:r>
      <w:r>
        <w:rPr>
          <w:sz w:val="26"/>
          <w:szCs w:val="26"/>
        </w:rPr>
        <w:t xml:space="preserve">. </w:t>
      </w:r>
    </w:p>
    <w:p w14:paraId="747C97FC">
      <w:pPr>
        <w:jc w:val="both"/>
        <w:rPr>
          <w:sz w:val="26"/>
          <w:szCs w:val="26"/>
        </w:rPr>
      </w:pPr>
      <w:r>
        <w:rPr>
          <w:sz w:val="26"/>
          <w:szCs w:val="26"/>
        </w:rPr>
        <w:t xml:space="preserve">      За рахунок коштів загального фонду бюджету Одеської міської територіальної громади на 2025 рік за КПКВКМБ 4013242 «Інші заходи у сфері соціального захисту і соціального забезпечення», КЕКВ 2730 «Інші виплати населенню» для надання адресної допомоги згідно з розпорядженнями голів районних адміністрацій Одеської міської ради затверджено 15 720 000, з них профінансовано 2 050 710 грн. Залишок бюджетних асигнувань у сумі  13 669 300 грн при потребі в коштах у сумі 40 120 800 грн є недостатнім, тобто дефіцит бюджетних коштів на вищезазначені цілі становить       </w:t>
      </w:r>
      <w:r>
        <w:rPr>
          <w:b/>
          <w:sz w:val="26"/>
          <w:szCs w:val="26"/>
        </w:rPr>
        <w:t>26 451 500 грн</w:t>
      </w:r>
      <w:r>
        <w:rPr>
          <w:sz w:val="26"/>
          <w:szCs w:val="26"/>
        </w:rPr>
        <w:t>.</w:t>
      </w:r>
    </w:p>
    <w:p w14:paraId="4D9ACB01">
      <w:pPr>
        <w:tabs>
          <w:tab w:val="left" w:pos="993"/>
        </w:tabs>
        <w:spacing w:line="276" w:lineRule="auto"/>
        <w:jc w:val="both"/>
        <w:rPr>
          <w:sz w:val="26"/>
          <w:szCs w:val="26"/>
        </w:rPr>
      </w:pPr>
      <w:r>
        <w:rPr>
          <w:sz w:val="26"/>
          <w:szCs w:val="26"/>
        </w:rPr>
        <w:t xml:space="preserve">      Водночас інформуємо про те, що ряду напрямків видатків, затверджених Київській районній адміністрації Одеської міської ради за рахунок коштів загального фонду бюджету Одеської міської територіальної громади на 2025 рік, має місце економія бюджетних призначень на загальну суму </w:t>
      </w:r>
      <w:r>
        <w:rPr>
          <w:b/>
          <w:sz w:val="26"/>
          <w:szCs w:val="26"/>
        </w:rPr>
        <w:t>12 421 400 грн</w:t>
      </w:r>
      <w:r>
        <w:rPr>
          <w:sz w:val="26"/>
          <w:szCs w:val="26"/>
        </w:rPr>
        <w:t>, а саме:</w:t>
      </w:r>
    </w:p>
    <w:p w14:paraId="09E6EE7C">
      <w:pPr>
        <w:numPr>
          <w:ilvl w:val="0"/>
          <w:numId w:val="2"/>
        </w:numPr>
        <w:spacing w:line="276" w:lineRule="auto"/>
        <w:ind w:left="0" w:firstLine="426"/>
        <w:jc w:val="both"/>
        <w:rPr>
          <w:sz w:val="26"/>
          <w:szCs w:val="26"/>
        </w:rPr>
      </w:pPr>
      <w:r>
        <w:rPr>
          <w:sz w:val="26"/>
          <w:szCs w:val="26"/>
        </w:rPr>
        <w:t xml:space="preserve">за КПКВКМБ </w:t>
      </w:r>
      <w:r>
        <w:rPr>
          <w:b/>
          <w:sz w:val="26"/>
          <w:szCs w:val="26"/>
        </w:rPr>
        <w:t>4016017</w:t>
      </w:r>
      <w:r>
        <w:rPr>
          <w:sz w:val="26"/>
          <w:szCs w:val="26"/>
        </w:rPr>
        <w:t xml:space="preserve"> „Інша діяльність, пов’язана з експлуатацією об’єктів житлово-комунального господарства», Міська цільова програма «Незламна Одеса» на 2024 – 2028 роки - у сумі </w:t>
      </w:r>
      <w:r>
        <w:rPr>
          <w:b/>
          <w:sz w:val="26"/>
          <w:szCs w:val="26"/>
        </w:rPr>
        <w:t xml:space="preserve">2 121 400 грн, </w:t>
      </w:r>
      <w:r>
        <w:rPr>
          <w:sz w:val="26"/>
          <w:szCs w:val="26"/>
        </w:rPr>
        <w:t>у т. ч.:</w:t>
      </w:r>
    </w:p>
    <w:p w14:paraId="456B897E">
      <w:pPr>
        <w:pStyle w:val="4"/>
        <w:numPr>
          <w:ilvl w:val="0"/>
          <w:numId w:val="3"/>
        </w:numPr>
        <w:spacing w:line="276" w:lineRule="auto"/>
        <w:ind w:left="0" w:firstLine="426"/>
        <w:jc w:val="both"/>
        <w:rPr>
          <w:sz w:val="26"/>
          <w:szCs w:val="26"/>
        </w:rPr>
      </w:pPr>
      <w:r>
        <w:rPr>
          <w:sz w:val="26"/>
          <w:szCs w:val="26"/>
        </w:rPr>
        <w:t>КЕКВ 2282 «Окремі заходи по реалізації державних (регіональних) програм, не віднесені до заходів розвитку», п. 5.1 «Часткова компенсація вартості електрогенераторів, джерел альтернативної енергії, обладнання систем накопичення електроенергії для багатоквартирних будинків ОСББ та ЖБК» - у сумі 68 400 грн;</w:t>
      </w:r>
    </w:p>
    <w:p w14:paraId="06E2992C">
      <w:pPr>
        <w:pStyle w:val="4"/>
        <w:numPr>
          <w:ilvl w:val="0"/>
          <w:numId w:val="3"/>
        </w:numPr>
        <w:spacing w:line="276" w:lineRule="auto"/>
        <w:ind w:left="0" w:firstLine="426"/>
        <w:jc w:val="both"/>
        <w:rPr>
          <w:sz w:val="26"/>
          <w:szCs w:val="26"/>
        </w:rPr>
      </w:pPr>
      <w:r>
        <w:rPr>
          <w:sz w:val="26"/>
          <w:szCs w:val="26"/>
        </w:rPr>
        <w:t>КЕКВ 2610 «Субсидії та поточні трансферти підприємствам (установам, організаціям)», п. 4.7 «Придбання предметів, матеріалів, обладнання та інвентарю для проведення першочергових, протиаварійних, консерваційних та стабілізаційних робіт на об'єктах житлового фонду, що пошкоджені внаслідок збройної агресії на території міста» - у сумі 2 053 000 грн;</w:t>
      </w:r>
    </w:p>
    <w:p w14:paraId="4F61F0AF">
      <w:pPr>
        <w:numPr>
          <w:ilvl w:val="0"/>
          <w:numId w:val="2"/>
        </w:numPr>
        <w:ind w:left="0" w:firstLine="426"/>
        <w:jc w:val="both"/>
        <w:rPr>
          <w:sz w:val="26"/>
          <w:szCs w:val="26"/>
        </w:rPr>
      </w:pPr>
      <w:r>
        <w:rPr>
          <w:sz w:val="26"/>
          <w:szCs w:val="26"/>
        </w:rPr>
        <w:t xml:space="preserve">за КПКВКМБ </w:t>
      </w:r>
      <w:r>
        <w:rPr>
          <w:b/>
          <w:sz w:val="26"/>
          <w:szCs w:val="26"/>
        </w:rPr>
        <w:t>4016030</w:t>
      </w:r>
      <w:r>
        <w:rPr>
          <w:sz w:val="26"/>
          <w:szCs w:val="26"/>
        </w:rPr>
        <w:t xml:space="preserve"> „Організація благоустрою населених пунктів», КЕКВ 2240 «Оплата послуг (крім комунальних)» , п. 9.14. «Проведення робіт з видалення та обрізки аварійних та сухостійних зелених насаджень на територіях прилеглих до багатоквартирних будинків» Міської цільової програми благоустрою м. Одеси на 2022-2028 - у сумі </w:t>
      </w:r>
      <w:r>
        <w:rPr>
          <w:b/>
          <w:sz w:val="26"/>
          <w:szCs w:val="26"/>
        </w:rPr>
        <w:t>1 300 000 грн</w:t>
      </w:r>
      <w:r>
        <w:rPr>
          <w:sz w:val="26"/>
          <w:szCs w:val="26"/>
        </w:rPr>
        <w:t>;</w:t>
      </w:r>
    </w:p>
    <w:p w14:paraId="51910116">
      <w:pPr>
        <w:pStyle w:val="4"/>
        <w:numPr>
          <w:ilvl w:val="0"/>
          <w:numId w:val="2"/>
        </w:numPr>
        <w:ind w:left="0" w:firstLine="426"/>
        <w:jc w:val="both"/>
        <w:rPr>
          <w:sz w:val="26"/>
          <w:szCs w:val="26"/>
        </w:rPr>
      </w:pPr>
      <w:r>
        <w:rPr>
          <w:sz w:val="26"/>
          <w:szCs w:val="26"/>
        </w:rPr>
        <w:t xml:space="preserve">за КПКВКМБ </w:t>
      </w:r>
      <w:r>
        <w:rPr>
          <w:b/>
          <w:sz w:val="26"/>
          <w:szCs w:val="26"/>
        </w:rPr>
        <w:t>4013191</w:t>
      </w:r>
      <w:r>
        <w:rPr>
          <w:sz w:val="26"/>
          <w:szCs w:val="26"/>
        </w:rPr>
        <w:t xml:space="preserve"> «Інші видатки на соціальний захист ветеранів війни та праці», КЕКВ 2730 «Інші виплати населенню», Міська цільова програма «Ветеран Одеси» на 2024-2028 роки - всього у сумі </w:t>
      </w:r>
      <w:r>
        <w:rPr>
          <w:b/>
          <w:sz w:val="26"/>
          <w:szCs w:val="26"/>
        </w:rPr>
        <w:t>1 800 000 грн</w:t>
      </w:r>
      <w:r>
        <w:rPr>
          <w:sz w:val="26"/>
          <w:szCs w:val="26"/>
        </w:rPr>
        <w:t xml:space="preserve">, у т. ч.: </w:t>
      </w:r>
    </w:p>
    <w:p w14:paraId="46D32D2B">
      <w:pPr>
        <w:pStyle w:val="4"/>
        <w:numPr>
          <w:ilvl w:val="0"/>
          <w:numId w:val="4"/>
        </w:numPr>
        <w:ind w:left="0" w:firstLine="426"/>
        <w:jc w:val="both"/>
        <w:rPr>
          <w:sz w:val="26"/>
          <w:szCs w:val="26"/>
        </w:rPr>
      </w:pPr>
      <w:r>
        <w:rPr>
          <w:sz w:val="26"/>
          <w:szCs w:val="26"/>
        </w:rPr>
        <w:t>п.6.2 «Надання адресної одноразової матеріальної допомоги для вирішення питань закупівлі будівельних матеріалів з метою проведення невідкладних ремонтних робіт у будинках (квартирах ) ветеранів»  - в сумі 500 000 грн;</w:t>
      </w:r>
    </w:p>
    <w:p w14:paraId="5EE3908E">
      <w:pPr>
        <w:pStyle w:val="4"/>
        <w:numPr>
          <w:ilvl w:val="0"/>
          <w:numId w:val="4"/>
        </w:numPr>
        <w:ind w:left="0" w:firstLine="426"/>
        <w:jc w:val="both"/>
        <w:rPr>
          <w:sz w:val="26"/>
          <w:szCs w:val="26"/>
        </w:rPr>
      </w:pPr>
      <w:r>
        <w:rPr>
          <w:sz w:val="26"/>
          <w:szCs w:val="26"/>
        </w:rPr>
        <w:t>п.6.3 «Надання адресної одноразової матеріальної допомоги ветеранам війни , сім ’ям загиблих (померлих ) ветеранів війни , сім ’ям загиблих (померлих ) Захисників і Захисниць України та сім’ям зниклих безвісти за особливих обставин військовослужбовців Збройних Сил України , а також інших утворених відповідно до законів України військових формувань та правоохоронних органів під час виконання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вирішення питання придбання / заміни побутової техніки» - в сумі 500 000 грн;</w:t>
      </w:r>
    </w:p>
    <w:p w14:paraId="334AD8D8">
      <w:pPr>
        <w:pStyle w:val="4"/>
        <w:numPr>
          <w:ilvl w:val="0"/>
          <w:numId w:val="4"/>
        </w:numPr>
        <w:ind w:left="0" w:firstLine="426"/>
        <w:jc w:val="both"/>
        <w:rPr>
          <w:sz w:val="26"/>
          <w:szCs w:val="26"/>
        </w:rPr>
      </w:pPr>
      <w:r>
        <w:rPr>
          <w:sz w:val="26"/>
          <w:szCs w:val="26"/>
        </w:rPr>
        <w:t>п.6.4  «Надання адресної одноразової матеріальної допомоги ветеранам війни, сім’ям загиблих (померлих ) ветеранів війни , сім ’ям загиблих (померлих ) Захисників і Захисниць України та сім ’ям зниклих безвісти за особливих обставин військовослужбовців Збройних Сил України, а також інших утворених відповідно до законів України військових формувань та правоохоронних органів під час виконання ними завдань, необхідних для забезпечення оборони України , захисту безпеки населення та інтересів держави у зв’язку з військовою агресією Російської Федерації' проти України, для вирішення питання придбання /заміни газового або електричного обладнання та приладів обліку води» - в сумі 800 000 грн.</w:t>
      </w:r>
    </w:p>
    <w:p w14:paraId="72E3D5F6">
      <w:pPr>
        <w:pStyle w:val="4"/>
        <w:numPr>
          <w:ilvl w:val="0"/>
          <w:numId w:val="2"/>
        </w:numPr>
        <w:ind w:left="0" w:firstLine="426"/>
        <w:jc w:val="both"/>
        <w:rPr>
          <w:sz w:val="26"/>
          <w:szCs w:val="26"/>
        </w:rPr>
      </w:pPr>
      <w:r>
        <w:rPr>
          <w:sz w:val="26"/>
          <w:szCs w:val="26"/>
        </w:rPr>
        <w:t xml:space="preserve">за КПКВКМБ </w:t>
      </w:r>
      <w:r>
        <w:rPr>
          <w:b/>
          <w:sz w:val="26"/>
          <w:szCs w:val="26"/>
        </w:rPr>
        <w:t>4016011</w:t>
      </w:r>
      <w:r>
        <w:rPr>
          <w:sz w:val="26"/>
          <w:szCs w:val="26"/>
        </w:rPr>
        <w:t xml:space="preserve"> «Експлуатація та технічне обслуговування житлового фонду», КЕКВ 3131 «Капітальний ремонт житлового фонду (приміщень)», п. 1.1 «Капітальний ремонт багатоквартирних житлових будинків» Міської цільової програми розвитку житлового господарства м. Одеси на 2022-2028 роки -  у сумі </w:t>
      </w:r>
      <w:r>
        <w:rPr>
          <w:b/>
          <w:sz w:val="26"/>
          <w:szCs w:val="26"/>
        </w:rPr>
        <w:t>7 200 000 грн.</w:t>
      </w:r>
    </w:p>
    <w:p w14:paraId="3273DBBA">
      <w:pPr>
        <w:pStyle w:val="4"/>
        <w:ind w:left="0"/>
        <w:jc w:val="both"/>
        <w:rPr>
          <w:sz w:val="26"/>
          <w:szCs w:val="26"/>
        </w:rPr>
      </w:pPr>
      <w:r>
        <w:rPr>
          <w:sz w:val="26"/>
          <w:szCs w:val="26"/>
        </w:rPr>
        <w:t xml:space="preserve">      Таким чином, для забезпечення виплати адресної матеріальної допомоги постраждалим від стихійного лиха, яке сталося у місті Одеса 30 вересня 2025 року, просимо </w:t>
      </w:r>
      <w:r>
        <w:rPr>
          <w:b/>
          <w:sz w:val="26"/>
          <w:szCs w:val="26"/>
          <w:u w:val="single"/>
        </w:rPr>
        <w:t>збільшити</w:t>
      </w:r>
      <w:r>
        <w:rPr>
          <w:sz w:val="26"/>
          <w:szCs w:val="26"/>
        </w:rPr>
        <w:t xml:space="preserve"> бюджетні асигнування за КПКВКМБ </w:t>
      </w:r>
      <w:r>
        <w:rPr>
          <w:b/>
          <w:sz w:val="26"/>
          <w:szCs w:val="26"/>
        </w:rPr>
        <w:t xml:space="preserve">4013242 </w:t>
      </w:r>
      <w:r>
        <w:rPr>
          <w:sz w:val="26"/>
          <w:szCs w:val="26"/>
        </w:rPr>
        <w:t xml:space="preserve">«Інші заходи у сфері соціального захисту і соціального забезпечення», КЕКВ 2730 «Інші виплати населенню» на суму </w:t>
      </w:r>
      <w:r>
        <w:rPr>
          <w:b/>
          <w:sz w:val="26"/>
          <w:szCs w:val="26"/>
        </w:rPr>
        <w:t xml:space="preserve">12 421 400 грн </w:t>
      </w:r>
      <w:r>
        <w:rPr>
          <w:sz w:val="26"/>
          <w:szCs w:val="26"/>
        </w:rPr>
        <w:t xml:space="preserve">за рахунок </w:t>
      </w:r>
      <w:r>
        <w:rPr>
          <w:b/>
          <w:sz w:val="26"/>
          <w:szCs w:val="26"/>
          <w:u w:val="single"/>
        </w:rPr>
        <w:t>зменшення</w:t>
      </w:r>
      <w:r>
        <w:rPr>
          <w:sz w:val="26"/>
          <w:szCs w:val="26"/>
        </w:rPr>
        <w:t xml:space="preserve"> бюджетних асигнувань за:</w:t>
      </w:r>
    </w:p>
    <w:p w14:paraId="4E624A5B">
      <w:pPr>
        <w:pStyle w:val="4"/>
        <w:ind w:left="0"/>
        <w:jc w:val="both"/>
        <w:rPr>
          <w:b/>
          <w:sz w:val="26"/>
          <w:szCs w:val="26"/>
        </w:rPr>
      </w:pPr>
      <w:r>
        <w:rPr>
          <w:sz w:val="26"/>
          <w:szCs w:val="26"/>
        </w:rPr>
        <w:t xml:space="preserve">      - КПКВКМБ </w:t>
      </w:r>
      <w:r>
        <w:rPr>
          <w:b/>
          <w:sz w:val="26"/>
          <w:szCs w:val="26"/>
        </w:rPr>
        <w:t>4016017</w:t>
      </w:r>
      <w:r>
        <w:rPr>
          <w:sz w:val="26"/>
          <w:szCs w:val="26"/>
        </w:rPr>
        <w:t xml:space="preserve"> „Інша діяльність, пов’язана з експлуатацією об’єктів житлово-комунального господарства», КЕКВ 2282 «Окремі заходи по реалізації державних (регіональних) програм, не віднесені до заходів розвитку» - на суму </w:t>
      </w:r>
      <w:r>
        <w:rPr>
          <w:b/>
          <w:sz w:val="26"/>
          <w:szCs w:val="26"/>
        </w:rPr>
        <w:t>68 400 грн;</w:t>
      </w:r>
    </w:p>
    <w:p w14:paraId="3B76439B">
      <w:pPr>
        <w:pStyle w:val="4"/>
        <w:ind w:left="0"/>
        <w:jc w:val="both"/>
        <w:rPr>
          <w:sz w:val="26"/>
          <w:szCs w:val="26"/>
        </w:rPr>
      </w:pPr>
      <w:r>
        <w:rPr>
          <w:sz w:val="26"/>
          <w:szCs w:val="26"/>
        </w:rPr>
        <w:t xml:space="preserve">      - КПКВКМБ </w:t>
      </w:r>
      <w:r>
        <w:rPr>
          <w:b/>
          <w:sz w:val="26"/>
          <w:szCs w:val="26"/>
        </w:rPr>
        <w:t>4016017</w:t>
      </w:r>
      <w:r>
        <w:rPr>
          <w:sz w:val="26"/>
          <w:szCs w:val="26"/>
        </w:rPr>
        <w:t xml:space="preserve"> „Інша діяльність, пов’язана з експлуатацією об’єктів житлово-комунального господарства», КЕКВ 2610 «Субсидії та поточні трансферти підприємствам (установам, організаціям)» - на суму </w:t>
      </w:r>
      <w:r>
        <w:rPr>
          <w:b/>
          <w:sz w:val="26"/>
          <w:szCs w:val="26"/>
        </w:rPr>
        <w:t>2 053 000 грн</w:t>
      </w:r>
      <w:r>
        <w:rPr>
          <w:sz w:val="26"/>
          <w:szCs w:val="26"/>
        </w:rPr>
        <w:t xml:space="preserve">; </w:t>
      </w:r>
    </w:p>
    <w:p w14:paraId="5D679B31">
      <w:pPr>
        <w:pStyle w:val="4"/>
        <w:ind w:left="0"/>
        <w:jc w:val="both"/>
        <w:rPr>
          <w:b/>
          <w:sz w:val="26"/>
          <w:szCs w:val="26"/>
        </w:rPr>
      </w:pPr>
      <w:r>
        <w:rPr>
          <w:sz w:val="26"/>
          <w:szCs w:val="26"/>
        </w:rPr>
        <w:t xml:space="preserve">      - КПКВКМБ </w:t>
      </w:r>
      <w:r>
        <w:rPr>
          <w:b/>
          <w:sz w:val="26"/>
          <w:szCs w:val="26"/>
        </w:rPr>
        <w:t>4016030</w:t>
      </w:r>
      <w:r>
        <w:rPr>
          <w:sz w:val="26"/>
          <w:szCs w:val="26"/>
        </w:rPr>
        <w:t xml:space="preserve"> „Організація благоустрою населених пунктів», КЕКВ 2240 «Оплата послуг (крім комунальних)» - на суму  </w:t>
      </w:r>
      <w:r>
        <w:rPr>
          <w:b/>
          <w:sz w:val="26"/>
          <w:szCs w:val="26"/>
        </w:rPr>
        <w:t xml:space="preserve">1 300 000 грн; </w:t>
      </w:r>
    </w:p>
    <w:p w14:paraId="4B45FBDC">
      <w:pPr>
        <w:pStyle w:val="4"/>
        <w:ind w:left="0"/>
        <w:jc w:val="both"/>
        <w:rPr>
          <w:b/>
          <w:sz w:val="26"/>
          <w:szCs w:val="26"/>
        </w:rPr>
      </w:pPr>
      <w:r>
        <w:rPr>
          <w:sz w:val="26"/>
          <w:szCs w:val="26"/>
        </w:rPr>
        <w:t xml:space="preserve">      - КПКВКМБ </w:t>
      </w:r>
      <w:r>
        <w:rPr>
          <w:b/>
          <w:sz w:val="26"/>
          <w:szCs w:val="26"/>
        </w:rPr>
        <w:t>4013191</w:t>
      </w:r>
      <w:r>
        <w:rPr>
          <w:sz w:val="26"/>
          <w:szCs w:val="26"/>
        </w:rPr>
        <w:t xml:space="preserve"> «Інші видатки на соціальний захист ветеранів війни та праці», КЕКВ 2730 «Інші виплати населенню» - на суму </w:t>
      </w:r>
      <w:r>
        <w:rPr>
          <w:b/>
          <w:sz w:val="26"/>
          <w:szCs w:val="26"/>
        </w:rPr>
        <w:t xml:space="preserve">1 800 000 грн; </w:t>
      </w:r>
    </w:p>
    <w:p w14:paraId="4308BEDC">
      <w:pPr>
        <w:pStyle w:val="4"/>
        <w:ind w:left="0"/>
        <w:jc w:val="both"/>
        <w:rPr>
          <w:sz w:val="26"/>
          <w:szCs w:val="26"/>
        </w:rPr>
      </w:pPr>
      <w:r>
        <w:rPr>
          <w:b/>
          <w:sz w:val="26"/>
          <w:szCs w:val="26"/>
        </w:rPr>
        <w:t xml:space="preserve">      - </w:t>
      </w:r>
      <w:r>
        <w:rPr>
          <w:sz w:val="26"/>
          <w:szCs w:val="26"/>
        </w:rPr>
        <w:t xml:space="preserve">КПКВКМБ </w:t>
      </w:r>
      <w:r>
        <w:rPr>
          <w:b/>
          <w:sz w:val="26"/>
          <w:szCs w:val="26"/>
        </w:rPr>
        <w:t>4016011</w:t>
      </w:r>
      <w:r>
        <w:rPr>
          <w:sz w:val="26"/>
          <w:szCs w:val="26"/>
        </w:rPr>
        <w:t xml:space="preserve"> «Експлуатація та технічне обслуговування житлового фонду», КЕКВ 3131 «Капітальний ремонт житлового фонду (приміщень)», п. 1.1 «Капітальний ремонт багатоквартирних житлових будинків» - на суму </w:t>
      </w:r>
      <w:r>
        <w:rPr>
          <w:b/>
          <w:sz w:val="26"/>
          <w:szCs w:val="26"/>
        </w:rPr>
        <w:t>7 200 000 грн</w:t>
      </w:r>
      <w:r>
        <w:rPr>
          <w:sz w:val="26"/>
          <w:szCs w:val="26"/>
        </w:rPr>
        <w:t xml:space="preserve">.     </w:t>
      </w:r>
    </w:p>
    <w:p w14:paraId="23BD0A08">
      <w:pPr>
        <w:jc w:val="both"/>
        <w:rPr>
          <w:sz w:val="26"/>
          <w:szCs w:val="26"/>
        </w:rPr>
      </w:pPr>
      <w:r>
        <w:rPr>
          <w:sz w:val="26"/>
          <w:szCs w:val="26"/>
        </w:rPr>
        <w:t xml:space="preserve">      </w:t>
      </w:r>
    </w:p>
    <w:p w14:paraId="1CAB3AD5">
      <w:pPr>
        <w:jc w:val="both"/>
        <w:rPr>
          <w:sz w:val="26"/>
          <w:szCs w:val="26"/>
        </w:rPr>
      </w:pPr>
      <w:r>
        <w:rPr>
          <w:sz w:val="26"/>
          <w:szCs w:val="26"/>
        </w:rPr>
        <w:t xml:space="preserve">      Крім того, прошу Вас при внесенні змін до бюджету Одеської міської територіальної громади на 2025 рік, визначити Київській райадміністрації Одеської міської ради за рахунок коштів загального фонду бюджету Одеської міської територіальної громади на 2025 рік </w:t>
      </w:r>
      <w:r>
        <w:rPr>
          <w:b/>
          <w:sz w:val="26"/>
          <w:szCs w:val="26"/>
          <w:u w:val="single"/>
        </w:rPr>
        <w:t>додатково</w:t>
      </w:r>
      <w:r>
        <w:rPr>
          <w:sz w:val="26"/>
          <w:szCs w:val="26"/>
        </w:rPr>
        <w:t xml:space="preserve"> видатки за КПКВК </w:t>
      </w:r>
      <w:r>
        <w:rPr>
          <w:b/>
          <w:sz w:val="26"/>
          <w:szCs w:val="26"/>
        </w:rPr>
        <w:t>4013242</w:t>
      </w:r>
      <w:r>
        <w:rPr>
          <w:sz w:val="26"/>
          <w:szCs w:val="26"/>
        </w:rPr>
        <w:t xml:space="preserve"> «Інші заходи у сфері соціального захисту і соціального забезпечення», КЕКВ 2730 «Інші виплати населенню» у сумі </w:t>
      </w:r>
      <w:r>
        <w:rPr>
          <w:b/>
          <w:sz w:val="26"/>
          <w:szCs w:val="26"/>
        </w:rPr>
        <w:t>14 030 100 грн</w:t>
      </w:r>
      <w:r>
        <w:rPr>
          <w:sz w:val="26"/>
          <w:szCs w:val="26"/>
        </w:rPr>
        <w:t>.</w:t>
      </w:r>
    </w:p>
    <w:p w14:paraId="63772BB7">
      <w:pPr>
        <w:tabs>
          <w:tab w:val="left" w:pos="993"/>
        </w:tabs>
        <w:spacing w:line="276" w:lineRule="auto"/>
        <w:jc w:val="both"/>
        <w:rPr>
          <w:sz w:val="28"/>
          <w:szCs w:val="28"/>
        </w:rPr>
      </w:pPr>
    </w:p>
    <w:p w14:paraId="0B169E44">
      <w:pPr>
        <w:jc w:val="both"/>
        <w:rPr>
          <w:rFonts w:eastAsia="SimSun"/>
          <w:b/>
          <w:i/>
          <w:color w:val="000000"/>
          <w:spacing w:val="-4"/>
          <w:sz w:val="28"/>
          <w:szCs w:val="28"/>
        </w:rPr>
      </w:pPr>
    </w:p>
    <w:p w14:paraId="3208486E">
      <w:pPr>
        <w:ind w:firstLine="540"/>
        <w:jc w:val="both"/>
        <w:rPr>
          <w:sz w:val="28"/>
          <w:szCs w:val="28"/>
        </w:rPr>
      </w:pPr>
      <w:r>
        <w:rPr>
          <w:sz w:val="28"/>
          <w:szCs w:val="28"/>
        </w:rPr>
        <w:t>Голова                                                                  Марина ЛОЗОВЕНКО</w:t>
      </w:r>
    </w:p>
    <w:p w14:paraId="158ECB8E">
      <w:pPr>
        <w:spacing w:line="276" w:lineRule="auto"/>
        <w:jc w:val="both"/>
        <w:rPr>
          <w:sz w:val="28"/>
          <w:szCs w:val="28"/>
        </w:rPr>
      </w:pPr>
    </w:p>
    <w:p w14:paraId="5D80DCD6">
      <w:pPr>
        <w:spacing w:line="276" w:lineRule="auto"/>
        <w:jc w:val="both"/>
        <w:rPr>
          <w:sz w:val="18"/>
          <w:szCs w:val="18"/>
        </w:rPr>
      </w:pPr>
    </w:p>
    <w:p w14:paraId="5A5612A6">
      <w:pPr>
        <w:spacing w:line="276" w:lineRule="auto"/>
        <w:jc w:val="both"/>
        <w:rPr>
          <w:sz w:val="18"/>
          <w:szCs w:val="18"/>
        </w:rPr>
      </w:pPr>
    </w:p>
    <w:p w14:paraId="5E1483AF">
      <w:pPr>
        <w:spacing w:line="276" w:lineRule="auto"/>
        <w:jc w:val="both"/>
        <w:rPr>
          <w:sz w:val="18"/>
          <w:szCs w:val="18"/>
        </w:rPr>
      </w:pPr>
    </w:p>
    <w:p w14:paraId="72A4488C">
      <w:pPr>
        <w:spacing w:line="276" w:lineRule="auto"/>
        <w:jc w:val="both"/>
        <w:rPr>
          <w:sz w:val="18"/>
          <w:szCs w:val="18"/>
        </w:rPr>
      </w:pPr>
    </w:p>
    <w:p w14:paraId="56D23CDE">
      <w:pPr>
        <w:spacing w:line="276" w:lineRule="auto"/>
        <w:jc w:val="both"/>
        <w:rPr>
          <w:sz w:val="18"/>
          <w:szCs w:val="18"/>
        </w:rPr>
      </w:pPr>
    </w:p>
    <w:p w14:paraId="07489B4C">
      <w:pPr>
        <w:spacing w:line="276" w:lineRule="auto"/>
        <w:jc w:val="both"/>
        <w:rPr>
          <w:sz w:val="18"/>
          <w:szCs w:val="18"/>
        </w:rPr>
      </w:pPr>
    </w:p>
    <w:p w14:paraId="2F521010">
      <w:pPr>
        <w:spacing w:line="276" w:lineRule="auto"/>
        <w:jc w:val="both"/>
        <w:rPr>
          <w:sz w:val="18"/>
          <w:szCs w:val="18"/>
        </w:rPr>
      </w:pPr>
    </w:p>
    <w:p w14:paraId="2DB66DCE">
      <w:pPr>
        <w:spacing w:line="276" w:lineRule="auto"/>
        <w:jc w:val="both"/>
        <w:rPr>
          <w:sz w:val="18"/>
          <w:szCs w:val="18"/>
        </w:rPr>
      </w:pPr>
    </w:p>
    <w:p w14:paraId="446C27AB">
      <w:pPr>
        <w:spacing w:line="276" w:lineRule="auto"/>
        <w:jc w:val="both"/>
        <w:rPr>
          <w:sz w:val="18"/>
          <w:szCs w:val="18"/>
        </w:rPr>
      </w:pPr>
    </w:p>
    <w:p w14:paraId="1187AE19">
      <w:pPr>
        <w:tabs>
          <w:tab w:val="left" w:pos="5400"/>
        </w:tabs>
        <w:ind w:left="284"/>
        <w:rPr>
          <w:sz w:val="18"/>
          <w:szCs w:val="18"/>
        </w:rPr>
      </w:pPr>
    </w:p>
    <w:p w14:paraId="09022F07">
      <w:pPr>
        <w:tabs>
          <w:tab w:val="left" w:pos="5400"/>
        </w:tabs>
        <w:ind w:left="284"/>
        <w:rPr>
          <w:sz w:val="18"/>
          <w:szCs w:val="18"/>
        </w:rPr>
      </w:pPr>
    </w:p>
    <w:p w14:paraId="2213DA7C">
      <w:pPr>
        <w:tabs>
          <w:tab w:val="left" w:pos="5400"/>
        </w:tabs>
        <w:ind w:left="284"/>
        <w:rPr>
          <w:sz w:val="18"/>
          <w:szCs w:val="18"/>
        </w:rPr>
      </w:pPr>
    </w:p>
    <w:p w14:paraId="360011C3">
      <w:pPr>
        <w:tabs>
          <w:tab w:val="left" w:pos="5400"/>
        </w:tabs>
        <w:ind w:left="284"/>
        <w:rPr>
          <w:rFonts w:eastAsiaTheme="minorEastAsia"/>
          <w:sz w:val="28"/>
          <w:lang w:val="ru-RU"/>
        </w:rPr>
      </w:pPr>
      <w:r>
        <w:rPr>
          <w:sz w:val="18"/>
          <w:szCs w:val="18"/>
        </w:rPr>
        <w:t>Наталія Кварацхелія 740 76 70</w:t>
      </w:r>
    </w:p>
    <w:p w14:paraId="7649521A"/>
    <w:p w14:paraId="369E5872"/>
    <w:p w14:paraId="02069748"/>
    <w:p w14:paraId="1BC3B656"/>
    <w:p w14:paraId="7CF08349"/>
    <w:p w14:paraId="0A4F7A01"/>
    <w:p w14:paraId="290DE302"/>
    <w:p w14:paraId="18F2571A"/>
    <w:p w14:paraId="39BDEEF3"/>
    <w:p w14:paraId="52344CB7"/>
    <w:p w14:paraId="2E75D982"/>
    <w:p w14:paraId="3A401194"/>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SC Regular">
    <w:altName w:val="Times New Roman"/>
    <w:panose1 w:val="00000000000000000000"/>
    <w:charset w:val="01"/>
    <w:family w:val="auto"/>
    <w:pitch w:val="default"/>
    <w:sig w:usb0="00000000" w:usb1="00000000" w:usb2="00000000" w:usb3="00000000" w:csb0="00000005"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93678"/>
    <w:multiLevelType w:val="multilevel"/>
    <w:tmpl w:val="0789367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DAB0332"/>
    <w:multiLevelType w:val="multilevel"/>
    <w:tmpl w:val="3DAB0332"/>
    <w:lvl w:ilvl="0" w:tentative="0">
      <w:start w:val="94"/>
      <w:numFmt w:val="bullet"/>
      <w:lvlText w:val="-"/>
      <w:lvlJc w:val="left"/>
      <w:pPr>
        <w:ind w:left="2345" w:hanging="360"/>
      </w:pPr>
      <w:rPr>
        <w:rFonts w:hint="default" w:ascii="Times New Roman" w:hAnsi="Times New Roman" w:eastAsia="Times New Roman" w:cs="Times New Roman"/>
      </w:rPr>
    </w:lvl>
    <w:lvl w:ilvl="1" w:tentative="0">
      <w:start w:val="1"/>
      <w:numFmt w:val="bullet"/>
      <w:lvlText w:val="o"/>
      <w:lvlJc w:val="left"/>
      <w:pPr>
        <w:ind w:left="3065" w:hanging="360"/>
      </w:pPr>
      <w:rPr>
        <w:rFonts w:hint="default" w:ascii="Courier New" w:hAnsi="Courier New" w:cs="Courier New"/>
      </w:rPr>
    </w:lvl>
    <w:lvl w:ilvl="2" w:tentative="0">
      <w:start w:val="1"/>
      <w:numFmt w:val="bullet"/>
      <w:lvlText w:val=""/>
      <w:lvlJc w:val="left"/>
      <w:pPr>
        <w:ind w:left="3785" w:hanging="360"/>
      </w:pPr>
      <w:rPr>
        <w:rFonts w:hint="default" w:ascii="Wingdings" w:hAnsi="Wingdings"/>
      </w:rPr>
    </w:lvl>
    <w:lvl w:ilvl="3" w:tentative="0">
      <w:start w:val="1"/>
      <w:numFmt w:val="bullet"/>
      <w:lvlText w:val=""/>
      <w:lvlJc w:val="left"/>
      <w:pPr>
        <w:ind w:left="4505" w:hanging="360"/>
      </w:pPr>
      <w:rPr>
        <w:rFonts w:hint="default" w:ascii="Symbol" w:hAnsi="Symbol"/>
      </w:rPr>
    </w:lvl>
    <w:lvl w:ilvl="4" w:tentative="0">
      <w:start w:val="1"/>
      <w:numFmt w:val="bullet"/>
      <w:lvlText w:val="o"/>
      <w:lvlJc w:val="left"/>
      <w:pPr>
        <w:ind w:left="5225" w:hanging="360"/>
      </w:pPr>
      <w:rPr>
        <w:rFonts w:hint="default" w:ascii="Courier New" w:hAnsi="Courier New" w:cs="Courier New"/>
      </w:rPr>
    </w:lvl>
    <w:lvl w:ilvl="5" w:tentative="0">
      <w:start w:val="1"/>
      <w:numFmt w:val="bullet"/>
      <w:lvlText w:val=""/>
      <w:lvlJc w:val="left"/>
      <w:pPr>
        <w:ind w:left="5945" w:hanging="360"/>
      </w:pPr>
      <w:rPr>
        <w:rFonts w:hint="default" w:ascii="Wingdings" w:hAnsi="Wingdings"/>
      </w:rPr>
    </w:lvl>
    <w:lvl w:ilvl="6" w:tentative="0">
      <w:start w:val="1"/>
      <w:numFmt w:val="bullet"/>
      <w:lvlText w:val=""/>
      <w:lvlJc w:val="left"/>
      <w:pPr>
        <w:ind w:left="6665" w:hanging="360"/>
      </w:pPr>
      <w:rPr>
        <w:rFonts w:hint="default" w:ascii="Symbol" w:hAnsi="Symbol"/>
      </w:rPr>
    </w:lvl>
    <w:lvl w:ilvl="7" w:tentative="0">
      <w:start w:val="1"/>
      <w:numFmt w:val="bullet"/>
      <w:lvlText w:val="o"/>
      <w:lvlJc w:val="left"/>
      <w:pPr>
        <w:ind w:left="7385" w:hanging="360"/>
      </w:pPr>
      <w:rPr>
        <w:rFonts w:hint="default" w:ascii="Courier New" w:hAnsi="Courier New" w:cs="Courier New"/>
      </w:rPr>
    </w:lvl>
    <w:lvl w:ilvl="8" w:tentative="0">
      <w:start w:val="1"/>
      <w:numFmt w:val="bullet"/>
      <w:lvlText w:val=""/>
      <w:lvlJc w:val="left"/>
      <w:pPr>
        <w:ind w:left="8105" w:hanging="360"/>
      </w:pPr>
      <w:rPr>
        <w:rFonts w:hint="default" w:ascii="Wingdings" w:hAnsi="Wingdings"/>
      </w:rPr>
    </w:lvl>
  </w:abstractNum>
  <w:abstractNum w:abstractNumId="2">
    <w:nsid w:val="4B804320"/>
    <w:multiLevelType w:val="multilevel"/>
    <w:tmpl w:val="4B804320"/>
    <w:lvl w:ilvl="0" w:tentative="0">
      <w:start w:val="1"/>
      <w:numFmt w:val="bullet"/>
      <w:lvlText w:val=""/>
      <w:lvlJc w:val="left"/>
      <w:pPr>
        <w:ind w:left="1146" w:hanging="360"/>
      </w:pPr>
      <w:rPr>
        <w:rFonts w:hint="default" w:ascii="Wingdings" w:hAnsi="Wingdings"/>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3">
    <w:nsid w:val="66493876"/>
    <w:multiLevelType w:val="singleLevel"/>
    <w:tmpl w:val="66493876"/>
    <w:lvl w:ilvl="0" w:tentative="0">
      <w:start w:val="1"/>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C721C"/>
    <w:rsid w:val="77485622"/>
    <w:rsid w:val="7ACC7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autoSpaceDE w:val="0"/>
      <w:autoSpaceDN w:val="0"/>
      <w:spacing w:after="0" w:line="240" w:lineRule="auto"/>
    </w:pPr>
    <w:rPr>
      <w:rFonts w:ascii="Times New Roman" w:hAnsi="Times New Roman" w:eastAsia="Times New Roman" w:cs="Times New Roman"/>
      <w:sz w:val="24"/>
      <w:szCs w:val="24"/>
      <w:lang w:val="uk-UA" w:eastAsia="ru-RU"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microsoft.com/office/2007/relationships/hdphoto" Target="media/image2.wdp"/><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18</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2025-10-27T13:40:00Z</dcterms:created>
  <dc:creator>sov3</dc:creator>
  <cp:lastModifiedBy>sov3</cp:lastModifiedBy>
  <dcterms:modified xsi:type="dcterms:W3CDTF">2025-10-27T14:27:00Z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E2B07FA25A1949A6AF9785705147AEAF_11</vt:lpwstr>
  </property>
</Properties>
</file>