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78C4DD60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</w:rPr>
      </w:pPr>
    </w:p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80F92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 xml:space="preserve">23 лютого 2026 рік              13-00                 каб. 307 </w:t>
      </w:r>
    </w:p>
    <w:p w14:paraId="7E59C988">
      <w:pPr>
        <w:spacing w:after="0" w:line="240" w:lineRule="auto"/>
        <w:ind w:left="0" w:leftChars="0" w:firstLine="439" w:firstLineChars="1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3773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suppressAutoHyphens/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left="0" w:leftChars="0" w:firstLine="439" w:firstLineChars="157"/>
        <w:jc w:val="both"/>
        <w:textAlignment w:val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Обрання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в.о. секретаря на засіданні постійної комісії </w:t>
      </w:r>
      <w:r>
        <w:rPr>
          <w:rStyle w:val="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4"/>
          <w:rFonts w:hint="default"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23 лютого </w:t>
      </w:r>
      <w:r>
        <w:rPr>
          <w:rStyle w:val="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default"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року.</w:t>
      </w:r>
    </w:p>
    <w:p w14:paraId="69822D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</w:pPr>
    </w:p>
    <w:p w14:paraId="2FE0992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Розгляд поправок до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uk-UA"/>
        </w:rPr>
        <w:t>проєкту рішення “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Про включення до Переліку другого типу 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міської ради від 03 лютого 2021 року       № 62-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, додаткових 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єктів комунальної власності територіальної громади м. Одеси» (лист Департаменту комунальної власності № 01-13/269 від 18.02.2026 року).</w:t>
      </w:r>
    </w:p>
    <w:p w14:paraId="572B9B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6AE082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27CFE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Інформація за зверненням громадських організацій міста щодо внесення змін та доповнень до проєкту </w:t>
      </w:r>
      <w:r>
        <w:rPr>
          <w:rFonts w:ascii="Times New Roman" w:hAnsi="Times New Roman" w:cs="Times New Roman"/>
          <w:sz w:val="28"/>
          <w:szCs w:val="28"/>
          <w:lang w:val="uk-UA"/>
        </w:rPr>
        <w:t>Стратегії розвитку територіальної громади міста Одеси до 2027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5B9EF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Chars="157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CF89F9A"/>
    <w:sectPr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B37DC"/>
    <w:multiLevelType w:val="singleLevel"/>
    <w:tmpl w:val="F6CB37D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3390"/>
    <w:rsid w:val="4D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2026-02-19T06:05:00Z</dcterms:created>
  <dc:creator>sov3</dc:creator>
  <cp:lastModifiedBy>sov3</cp:lastModifiedBy>
  <dcterms:modified xsi:type="dcterms:W3CDTF">2026-02-19T06:05:51Z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2754396CF8E84A3D84B9AD3D6FA02A4B_11</vt:lpwstr>
  </property>
</Properties>
</file>