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EF" w:rsidRDefault="00371B0D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8EF" w:rsidRDefault="00371B0D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5058EF" w:rsidRDefault="005058EF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5058EF" w:rsidRDefault="005058EF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5058EF" w:rsidRDefault="00371B0D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5058EF" w:rsidRDefault="005058EF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5058EF" w:rsidRDefault="00371B0D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058EF" w:rsidRDefault="00371B0D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058EF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058EF" w:rsidRDefault="005058E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5058EF" w:rsidRDefault="00371B0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5058EF" w:rsidRDefault="005058EF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5058EF" w:rsidRDefault="00371B0D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058EF" w:rsidRDefault="005058EF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5058EF" w:rsidRDefault="00371B0D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5058EF" w:rsidRDefault="00371B0D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5058EF" w:rsidRDefault="005058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5058EF" w:rsidRDefault="00371B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5058EF" w:rsidRDefault="005058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 листопада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8EF" w:rsidRDefault="005058E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058EF" w:rsidRDefault="00371B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5058EF" w:rsidRDefault="00371B0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5058EF" w:rsidRDefault="00371B0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5058EF" w:rsidRDefault="00371B0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5058EF" w:rsidRDefault="00371B0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5058EF" w:rsidRDefault="00371B0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Мороховський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Вадим Вікторович </w:t>
      </w:r>
    </w:p>
    <w:p w:rsidR="005058EF" w:rsidRDefault="005058E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5058EF" w:rsidRDefault="00371B0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5058EF" w:rsidRDefault="005058E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5058EF">
        <w:tc>
          <w:tcPr>
            <w:tcW w:w="3532" w:type="dxa"/>
          </w:tcPr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5058EF" w:rsidRDefault="00505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5058EF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F" w:rsidRDefault="00505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5058EF" w:rsidRDefault="00505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58EF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Гребенюк</w:t>
            </w:r>
          </w:p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Леонід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Сергійович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F" w:rsidRDefault="00505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058EF" w:rsidRDefault="00371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директор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Департаменту міського гсоподпрства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5058EF" w:rsidRDefault="00505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058EF" w:rsidRDefault="005058EF">
      <w:pPr>
        <w:rPr>
          <w:rFonts w:ascii="Times New Roman" w:hAnsi="Times New Roman" w:cs="Times New Roman"/>
          <w:lang w:val="uk-UA"/>
        </w:rPr>
      </w:pPr>
    </w:p>
    <w:p w:rsidR="005058EF" w:rsidRDefault="005058EF">
      <w:pPr>
        <w:rPr>
          <w:rFonts w:ascii="Times New Roman" w:hAnsi="Times New Roman" w:cs="Times New Roman"/>
          <w:lang w:val="uk-UA"/>
        </w:rPr>
      </w:pPr>
    </w:p>
    <w:p w:rsidR="005058EF" w:rsidRPr="009A349E" w:rsidRDefault="005058EF">
      <w:pPr>
        <w:rPr>
          <w:rFonts w:ascii="Times New Roman" w:hAnsi="Times New Roman" w:cs="Times New Roman"/>
        </w:rPr>
      </w:pPr>
    </w:p>
    <w:p w:rsidR="005058EF" w:rsidRDefault="00371B0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Приймаючи до уваги те, що документи, що розглядаються, мають ознаки державної таємниці, початок засідання комісії проводилось </w:t>
      </w:r>
    </w:p>
    <w:p w:rsidR="005058EF" w:rsidRDefault="00371B0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закритому режимі.</w:t>
      </w:r>
    </w:p>
    <w:p w:rsidR="005058EF" w:rsidRPr="009A349E" w:rsidRDefault="005058EF">
      <w:pPr>
        <w:rPr>
          <w:rFonts w:ascii="Times New Roman" w:hAnsi="Times New Roman" w:cs="Times New Roman"/>
          <w:lang w:val="uk-UA"/>
        </w:rPr>
      </w:pPr>
    </w:p>
    <w:p w:rsidR="005058EF" w:rsidRDefault="005058EF">
      <w:pPr>
        <w:rPr>
          <w:rFonts w:ascii="Times New Roman" w:hAnsi="Times New Roman" w:cs="Times New Roman"/>
          <w:lang w:val="uk-UA"/>
        </w:rPr>
      </w:pPr>
    </w:p>
    <w:p w:rsidR="005058EF" w:rsidRDefault="00371B0D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</w:t>
      </w:r>
      <w:r w:rsidRPr="009A349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змін до бюджету </w:t>
      </w:r>
      <w:r w:rsidRPr="009A3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лист № 04-25/200/2247 від 17.11.2025 року).</w:t>
      </w:r>
    </w:p>
    <w:p w:rsidR="005058EF" w:rsidRDefault="00371B0D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Голосували за наступні коригування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5058EF" w:rsidRDefault="00371B0D">
      <w:pPr>
        <w:pStyle w:val="a4"/>
        <w:tabs>
          <w:tab w:val="left" w:pos="993"/>
        </w:tabs>
        <w:ind w:left="6" w:right="-113" w:firstLineChars="175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ідповідно до довідки про зміни до річного </w:t>
      </w:r>
      <w:r>
        <w:rPr>
          <w:rFonts w:ascii="Times New Roman" w:hAnsi="Times New Roman" w:cs="Times New Roman"/>
          <w:sz w:val="24"/>
          <w:szCs w:val="24"/>
        </w:rPr>
        <w:t>розпису бюджету на 2025 рік Департаменту фінансів Одеської обласної державної (військової) адміністрації від 30.10.2025 № 1209 (</w:t>
      </w:r>
      <w:r>
        <w:rPr>
          <w:rFonts w:ascii="Times New Roman" w:hAnsi="Times New Roman" w:cs="Times New Roman"/>
          <w:i/>
          <w:iCs/>
          <w:sz w:val="24"/>
          <w:szCs w:val="24"/>
        </w:rPr>
        <w:t>копія додається</w:t>
      </w:r>
      <w:r>
        <w:rPr>
          <w:rFonts w:ascii="Times New Roman" w:hAnsi="Times New Roman" w:cs="Times New Roman"/>
          <w:sz w:val="24"/>
          <w:szCs w:val="24"/>
        </w:rPr>
        <w:t xml:space="preserve">) розпорядженням Одеської обласної державної адміністрації від 29.10.2025 № 1120/А-2025 бюджету Одеської міської </w:t>
      </w:r>
      <w:r>
        <w:rPr>
          <w:rFonts w:ascii="Times New Roman" w:hAnsi="Times New Roman" w:cs="Times New Roman"/>
          <w:sz w:val="24"/>
          <w:szCs w:val="24"/>
        </w:rPr>
        <w:t>територіальної громади визначена «Інші субвенції з місцевого бюджету» на заохочення та відзначення осіб  (працівників), які виконують роботи з будівництва фортифікаційних споруд на територіях, де ведуться бойові дії у сумі 356 850 грн.</w:t>
      </w:r>
    </w:p>
    <w:p w:rsidR="005058EF" w:rsidRDefault="00371B0D">
      <w:pPr>
        <w:ind w:left="6" w:right="-113" w:firstLineChars="175" w:firstLine="420"/>
        <w:jc w:val="both"/>
        <w:rPr>
          <w:rFonts w:ascii="Times New Roman" w:hAnsi="Times New Roman" w:cs="Times New Roman"/>
          <w:lang w:val="uk-UA"/>
        </w:rPr>
      </w:pPr>
      <w:bookmarkStart w:id="0" w:name="_Hlk190955213"/>
      <w:r>
        <w:rPr>
          <w:rFonts w:ascii="Times New Roman" w:eastAsiaTheme="minorHAnsi" w:hAnsi="Times New Roman" w:cs="Times New Roman"/>
          <w:lang w:val="uk-UA" w:eastAsia="en-US"/>
        </w:rPr>
        <w:t>Одеською районною де</w:t>
      </w:r>
      <w:r>
        <w:rPr>
          <w:rFonts w:ascii="Times New Roman" w:eastAsiaTheme="minorHAnsi" w:hAnsi="Times New Roman" w:cs="Times New Roman"/>
          <w:lang w:val="uk-UA" w:eastAsia="en-US"/>
        </w:rPr>
        <w:t>ржавною</w:t>
      </w:r>
      <w:r>
        <w:rPr>
          <w:rFonts w:ascii="Times New Roman" w:hAnsi="Times New Roman" w:cs="Times New Roman"/>
          <w:lang w:val="uk-UA"/>
        </w:rPr>
        <w:t xml:space="preserve"> (військовою) адміністрацією надано перелік працівників, які виконували роботи з будівництва фортифікаційних споруд на територіях, де ведуться бойові дії, наданий Одеською міською радою із зазначенням ПІБ, посади, періоду знаходження, кількості днів</w:t>
      </w:r>
      <w:r>
        <w:rPr>
          <w:rFonts w:ascii="Times New Roman" w:hAnsi="Times New Roman" w:cs="Times New Roman"/>
          <w:lang w:val="uk-UA"/>
        </w:rPr>
        <w:t xml:space="preserve"> та комунальних підприємств, за якими ці працівники закріплені із зазначенням переліку відпрацьованих днів, загальна кількість яких становить 225 днів (</w:t>
      </w:r>
      <w:r>
        <w:rPr>
          <w:rFonts w:ascii="Times New Roman" w:hAnsi="Times New Roman" w:cs="Times New Roman"/>
          <w:i/>
          <w:iCs/>
          <w:lang w:val="uk-UA"/>
        </w:rPr>
        <w:t>копії листів додаються</w:t>
      </w:r>
      <w:r>
        <w:rPr>
          <w:rFonts w:ascii="Times New Roman" w:hAnsi="Times New Roman" w:cs="Times New Roman"/>
          <w:lang w:val="uk-UA"/>
        </w:rPr>
        <w:t xml:space="preserve">). Нарахування та відзначення осіб здійснюється у розмірі 1 586,00 грн на 1 особу </w:t>
      </w:r>
      <w:r>
        <w:rPr>
          <w:rFonts w:ascii="Times New Roman" w:hAnsi="Times New Roman" w:cs="Times New Roman"/>
          <w:lang w:val="uk-UA"/>
        </w:rPr>
        <w:t xml:space="preserve">за 1 день виконання таких робіт. В суму входить ЄСВ (єдиний соціальний внесок) – 22 %, ПДФО (податок на доходи фізичних осіб) – 18 % та ВС (військовий збір) – 5 %. </w:t>
      </w:r>
    </w:p>
    <w:bookmarkEnd w:id="0"/>
    <w:p w:rsidR="005058EF" w:rsidRDefault="00371B0D">
      <w:pPr>
        <w:ind w:left="6" w:right="-113"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Враховуючи вищенаведене, та листи головних розпорядників бюджетних коштів (</w:t>
      </w:r>
      <w:r>
        <w:rPr>
          <w:rFonts w:ascii="Times New Roman" w:hAnsi="Times New Roman" w:cs="Times New Roman"/>
          <w:i/>
          <w:iCs/>
          <w:lang w:val="uk-UA"/>
        </w:rPr>
        <w:t>копії додаються</w:t>
      </w:r>
      <w:r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 xml:space="preserve"> надаємо пропозиції щодо внесення змін до загального фонду бюджету Одеської міської територіальної громади на 2025 рік наступним чином:   </w:t>
      </w:r>
      <w:r>
        <w:rPr>
          <w:rFonts w:ascii="Times New Roman" w:hAnsi="Times New Roman" w:cs="Times New Roman"/>
          <w:lang w:val="uk-UA"/>
        </w:rPr>
        <w:tab/>
      </w:r>
    </w:p>
    <w:tbl>
      <w:tblPr>
        <w:tblStyle w:val="1"/>
        <w:tblW w:w="9531" w:type="dxa"/>
        <w:tblInd w:w="268" w:type="dxa"/>
        <w:tblLook w:val="04A0" w:firstRow="1" w:lastRow="0" w:firstColumn="1" w:lastColumn="0" w:noHBand="0" w:noVBand="1"/>
      </w:tblPr>
      <w:tblGrid>
        <w:gridCol w:w="2976"/>
        <w:gridCol w:w="2389"/>
        <w:gridCol w:w="2997"/>
        <w:gridCol w:w="1169"/>
      </w:tblGrid>
      <w:tr w:rsidR="005058EF">
        <w:trPr>
          <w:tblHeader/>
        </w:trPr>
        <w:tc>
          <w:tcPr>
            <w:tcW w:w="2976" w:type="dxa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КПКВКМБ</w:t>
            </w:r>
          </w:p>
        </w:tc>
        <w:tc>
          <w:tcPr>
            <w:tcW w:w="2389" w:type="dxa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2997" w:type="dxa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Одержувач бюджетних коштів</w:t>
            </w:r>
          </w:p>
        </w:tc>
        <w:tc>
          <w:tcPr>
            <w:tcW w:w="1169" w:type="dxa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Сума, грн</w:t>
            </w:r>
          </w:p>
        </w:tc>
      </w:tr>
      <w:tr w:rsidR="005058EF">
        <w:trPr>
          <w:trHeight w:val="1429"/>
        </w:trPr>
        <w:tc>
          <w:tcPr>
            <w:tcW w:w="2976" w:type="dxa"/>
            <w:vAlign w:val="center"/>
          </w:tcPr>
          <w:p w:rsidR="005058EF" w:rsidRDefault="00371B0D">
            <w:pPr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1216012</w:t>
            </w:r>
          </w:p>
          <w:p w:rsidR="005058EF" w:rsidRDefault="00371B0D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«Забезпечення діяльності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виробництва, транспортування, постачання теплової енергії»</w:t>
            </w:r>
          </w:p>
        </w:tc>
        <w:tc>
          <w:tcPr>
            <w:tcW w:w="2389" w:type="dxa"/>
            <w:vMerge w:val="restart"/>
            <w:vAlign w:val="center"/>
          </w:tcPr>
          <w:p w:rsidR="005058EF" w:rsidRDefault="00371B0D">
            <w:pPr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Департамент міського господарства Одеської міської ради</w:t>
            </w:r>
          </w:p>
          <w:p w:rsidR="005058EF" w:rsidRDefault="005058EF">
            <w:pPr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5058EF">
            <w:pPr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«Теплопостачання міста Одеси» (видатки розвитку)</w:t>
            </w:r>
          </w:p>
        </w:tc>
        <w:tc>
          <w:tcPr>
            <w:tcW w:w="1169" w:type="dxa"/>
          </w:tcPr>
          <w:p w:rsidR="005058EF" w:rsidRDefault="005058EF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47 580</w:t>
            </w:r>
          </w:p>
        </w:tc>
      </w:tr>
      <w:tr w:rsidR="005058EF">
        <w:trPr>
          <w:trHeight w:val="902"/>
        </w:trPr>
        <w:tc>
          <w:tcPr>
            <w:tcW w:w="2976" w:type="dxa"/>
            <w:vAlign w:val="center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1216030 «Організація благоустрою населених пунктів»</w:t>
            </w:r>
          </w:p>
        </w:tc>
        <w:tc>
          <w:tcPr>
            <w:tcW w:w="2389" w:type="dxa"/>
            <w:vMerge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РАЗОМ (видатки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розвитку):</w:t>
            </w:r>
          </w:p>
          <w:p w:rsidR="005058EF" w:rsidRDefault="005058EF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«Міські дороги»</w:t>
            </w: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«Міськзелентрест»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71 370</w:t>
            </w:r>
          </w:p>
          <w:p w:rsidR="005058EF" w:rsidRDefault="005058EF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23 790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1216090 «Інша діяльність у сфері житлово-комунального господарства»</w:t>
            </w:r>
          </w:p>
        </w:tc>
        <w:tc>
          <w:tcPr>
            <w:tcW w:w="2389" w:type="dxa"/>
            <w:vMerge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«Сервісний центр»</w:t>
            </w: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(видатки розвитку)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23 790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5058EF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142 740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1917421 «Утримання та розвиток наземного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електротранспорту»</w:t>
            </w:r>
          </w:p>
        </w:tc>
        <w:tc>
          <w:tcPr>
            <w:tcW w:w="2389" w:type="dxa"/>
            <w:vAlign w:val="center"/>
          </w:tcPr>
          <w:p w:rsidR="005058EF" w:rsidRDefault="00371B0D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Департамент транспорту, зв’язку та організації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дорожнього руху Одеської міської ради</w:t>
            </w:r>
          </w:p>
        </w:tc>
        <w:tc>
          <w:tcPr>
            <w:tcW w:w="2997" w:type="dxa"/>
          </w:tcPr>
          <w:p w:rsidR="005058EF" w:rsidRDefault="005058EF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КП «Одесміськелектротранс»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lastRenderedPageBreak/>
              <w:t>(видатки розвитку)</w:t>
            </w:r>
          </w:p>
        </w:tc>
        <w:tc>
          <w:tcPr>
            <w:tcW w:w="1169" w:type="dxa"/>
          </w:tcPr>
          <w:p w:rsidR="005058EF" w:rsidRDefault="005058EF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47 580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5058EF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47 580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4016017 «Інша діяльність, пов’язана з експлуатацією об’єктів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житлово-комунального господарства»</w:t>
            </w:r>
          </w:p>
        </w:tc>
        <w:tc>
          <w:tcPr>
            <w:tcW w:w="2389" w:type="dxa"/>
            <w:vAlign w:val="center"/>
          </w:tcPr>
          <w:p w:rsidR="005058EF" w:rsidRDefault="00371B0D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Київська районна адміністрація Одеської міської ради</w:t>
            </w: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 (видатки розвитку):</w:t>
            </w:r>
          </w:p>
          <w:p w:rsidR="005058EF" w:rsidRDefault="005058EF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«Вузівський»</w:t>
            </w: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«Чорноморський»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47 580</w:t>
            </w:r>
          </w:p>
          <w:p w:rsidR="005058EF" w:rsidRDefault="005058EF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23 790</w:t>
            </w: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23 790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5058EF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47 580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4116017 «Інша діяльність, пов’язана з експлуатацією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об’єктів житлово-комунального господарства»</w:t>
            </w:r>
          </w:p>
        </w:tc>
        <w:tc>
          <w:tcPr>
            <w:tcW w:w="2389" w:type="dxa"/>
            <w:vAlign w:val="center"/>
          </w:tcPr>
          <w:p w:rsidR="005058EF" w:rsidRDefault="00371B0D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Хаджибейська районна адміністрація Одеської міської ради</w:t>
            </w: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 (видатки розвитку):</w:t>
            </w:r>
          </w:p>
          <w:p w:rsidR="005058EF" w:rsidRDefault="005058EF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«Хмельницький»</w:t>
            </w: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«Черьомушки»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47 580</w:t>
            </w:r>
          </w:p>
          <w:p w:rsidR="005058EF" w:rsidRDefault="005058EF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23 790</w:t>
            </w: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23 790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5058EF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47 580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371B0D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4216017 «Інша діяльність, пов’язана з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експлуатацією об’єктів житлово-комунального господарства»</w:t>
            </w:r>
          </w:p>
        </w:tc>
        <w:tc>
          <w:tcPr>
            <w:tcW w:w="2389" w:type="dxa"/>
            <w:vAlign w:val="center"/>
          </w:tcPr>
          <w:p w:rsidR="005058EF" w:rsidRDefault="00371B0D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Приморська районна адміністрація Одеської міської ради</w:t>
            </w: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 (видатки розвитку):</w:t>
            </w:r>
          </w:p>
          <w:p w:rsidR="005058EF" w:rsidRDefault="005058EF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«Фонтанський»</w:t>
            </w:r>
          </w:p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«Порто-Франківський»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71 370</w:t>
            </w:r>
          </w:p>
          <w:p w:rsidR="005058EF" w:rsidRDefault="005058EF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23 790</w:t>
            </w:r>
          </w:p>
        </w:tc>
      </w:tr>
      <w:tr w:rsidR="005058EF">
        <w:tc>
          <w:tcPr>
            <w:tcW w:w="2976" w:type="dxa"/>
            <w:vAlign w:val="center"/>
          </w:tcPr>
          <w:p w:rsidR="005058EF" w:rsidRDefault="005058EF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71 370</w:t>
            </w:r>
          </w:p>
        </w:tc>
      </w:tr>
      <w:tr w:rsidR="005058EF">
        <w:trPr>
          <w:trHeight w:val="280"/>
        </w:trPr>
        <w:tc>
          <w:tcPr>
            <w:tcW w:w="2976" w:type="dxa"/>
            <w:vAlign w:val="center"/>
          </w:tcPr>
          <w:p w:rsidR="005058EF" w:rsidRDefault="005058EF">
            <w:pPr>
              <w:ind w:left="6" w:right="27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5058EF" w:rsidRDefault="005058EF">
            <w:pPr>
              <w:ind w:left="6" w:hanging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97" w:type="dxa"/>
          </w:tcPr>
          <w:p w:rsidR="005058EF" w:rsidRDefault="00371B0D">
            <w:pPr>
              <w:ind w:left="6" w:hanging="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69" w:type="dxa"/>
          </w:tcPr>
          <w:p w:rsidR="005058EF" w:rsidRDefault="00371B0D">
            <w:pPr>
              <w:tabs>
                <w:tab w:val="left" w:pos="1134"/>
              </w:tabs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356 850</w:t>
            </w:r>
          </w:p>
        </w:tc>
      </w:tr>
    </w:tbl>
    <w:p w:rsidR="005058EF" w:rsidRDefault="00371B0D">
      <w:pPr>
        <w:tabs>
          <w:tab w:val="left" w:pos="1134"/>
        </w:tabs>
        <w:ind w:left="6" w:right="-113" w:hanging="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Одночасно, пропонується збільшити доходи загального фонду за ККДБ 41053900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«Інші субвенції з місцевого бюджету» на суму 356 850 грн.</w:t>
      </w:r>
    </w:p>
    <w:p w:rsidR="005058EF" w:rsidRDefault="00371B0D">
      <w:pPr>
        <w:pStyle w:val="a5"/>
        <w:shd w:val="clear" w:color="auto" w:fill="FFFFFF"/>
        <w:ind w:left="0" w:firstLineChars="169" w:firstLine="4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5058EF" w:rsidRDefault="00371B0D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зміни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 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листом Департаменту фінансів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04-25/200/2247 від 17.11.2025 року.</w:t>
      </w:r>
    </w:p>
    <w:p w:rsidR="005058EF" w:rsidRDefault="005058EF">
      <w:pPr>
        <w:pStyle w:val="a5"/>
        <w:shd w:val="clear" w:color="auto" w:fill="FFFFFF"/>
        <w:ind w:left="0" w:firstLineChars="169" w:firstLine="47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5058EF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58EF" w:rsidRDefault="005058E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Департаменту освіти та науки Одеської міської ради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уточнених пропозицій на зменшення бюджетних призначень (лист № 01-14/5999 від 17.11.2025 року). </w:t>
      </w:r>
    </w:p>
    <w:p w:rsidR="005058EF" w:rsidRDefault="00371B0D">
      <w:pPr>
        <w:ind w:firstLineChars="171" w:firstLine="41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Голосували за зменшення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бюджетних призначень, а саме:</w:t>
      </w:r>
    </w:p>
    <w:p w:rsidR="005058EF" w:rsidRDefault="00371B0D">
      <w:pPr>
        <w:pStyle w:val="a5"/>
        <w:numPr>
          <w:ilvl w:val="0"/>
          <w:numId w:val="2"/>
        </w:numPr>
        <w:ind w:left="0" w:firstLineChars="171" w:firstLine="41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Ремонтно-реставраційні роботи  аварійних  приміщень Одеського ліцею № 50 Одеської міської ради за </w:t>
      </w:r>
      <w:r>
        <w:rPr>
          <w:rFonts w:ascii="Times New Roman" w:eastAsia="Times New Roman" w:hAnsi="Times New Roman" w:cs="Times New Roman"/>
          <w:lang w:val="uk-UA" w:eastAsia="ru-RU"/>
        </w:rPr>
        <w:t>адресою: м. Одеса, вул. Кінна, 46 у сумі 3 090 903,0 грн</w:t>
      </w:r>
    </w:p>
    <w:p w:rsidR="005058EF" w:rsidRDefault="00371B0D">
      <w:pPr>
        <w:pStyle w:val="a5"/>
        <w:numPr>
          <w:ilvl w:val="0"/>
          <w:numId w:val="2"/>
        </w:numPr>
        <w:ind w:left="0" w:firstLineChars="171" w:firstLine="41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Капітальний ремонту внутрішніх приміщень Одеського ліцею № 10 ім.  льотчиків-космонавтів  Г.Т. Добровольського та Г.С. Шоніна Одеської міської ради за адресою: </w:t>
      </w:r>
      <w:r w:rsidRPr="009A349E"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lang w:val="uk-UA" w:eastAsia="ru-RU"/>
        </w:rPr>
        <w:t>м. Одеса, вул. Десятого квітня,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22 у сумі 2 000 000,0 гр. </w:t>
      </w:r>
    </w:p>
    <w:p w:rsidR="005058EF" w:rsidRDefault="00371B0D">
      <w:pPr>
        <w:ind w:firstLineChars="171" w:firstLine="48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За - одноголосно.</w:t>
      </w: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Департаменту освіти та науки Одеської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пропозиції на зменшення бюджетних призначень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01-14/5999 від 17.11.2025 року. </w:t>
      </w:r>
    </w:p>
    <w:p w:rsidR="005058EF" w:rsidRDefault="005058E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058EF" w:rsidRDefault="005058EF">
      <w:pPr>
        <w:ind w:right="-142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058EF" w:rsidRDefault="00371B0D">
      <w:pPr>
        <w:ind w:right="-142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СЛУХАЛИ: Інформацію за зверненням Київської районної адміністрації щодо </w:t>
      </w:r>
      <w:r w:rsidRPr="009A349E">
        <w:rPr>
          <w:rFonts w:ascii="Times New Roman" w:hAnsi="Times New Roman" w:cs="Times New Roman"/>
          <w:sz w:val="28"/>
          <w:szCs w:val="28"/>
          <w:lang w:val="uk-UA"/>
        </w:rPr>
        <w:t>внесення змін до бюджету Одеської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(лист № 01-12/1357 від 14.11.2025 року).</w:t>
      </w:r>
    </w:p>
    <w:p w:rsidR="005058EF" w:rsidRDefault="00371B0D">
      <w:pPr>
        <w:ind w:right="-142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наступні пропозиції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Київської районної адміністрації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щодо </w:t>
      </w:r>
      <w:r w:rsidRPr="009A349E">
        <w:rPr>
          <w:rFonts w:ascii="Times New Roman" w:hAnsi="Times New Roman" w:cs="Times New Roman"/>
          <w:sz w:val="28"/>
          <w:szCs w:val="28"/>
          <w:lang w:val="uk-UA"/>
        </w:rPr>
        <w:t>внесення змін до бюджету Одеської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8EF" w:rsidRDefault="00371B0D">
      <w:pPr>
        <w:ind w:left="142" w:right="-14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  <w:u w:val="single"/>
        </w:rPr>
        <w:t>Зменшити</w:t>
      </w:r>
      <w:r>
        <w:rPr>
          <w:rFonts w:ascii="Times New Roman" w:hAnsi="Times New Roman" w:cs="Times New Roman"/>
        </w:rPr>
        <w:t xml:space="preserve"> бюджетні призначення за КПКВКМБ 4016011 «Експлуатація та технічне обслуговування житлового фонду», КЕКВ 3131 «Капітальний ремонт житлового фонду (приміщень)», передбачених на виконання заходів п. 1.1 «Капітальний ремонт багатоквартирних житлових будинків»</w:t>
      </w:r>
      <w:r>
        <w:rPr>
          <w:rFonts w:ascii="Times New Roman" w:hAnsi="Times New Roman" w:cs="Times New Roman"/>
        </w:rPr>
        <w:t xml:space="preserve"> Міської цільової програми розвитку житлового господарства м. Одеси на 2022-2028 роки на загальну суму </w:t>
      </w:r>
      <w:r>
        <w:rPr>
          <w:rFonts w:ascii="Times New Roman" w:hAnsi="Times New Roman" w:cs="Times New Roman"/>
          <w:b/>
        </w:rPr>
        <w:t>1 672 800 грн</w:t>
      </w:r>
      <w:r>
        <w:rPr>
          <w:rFonts w:ascii="Times New Roman" w:hAnsi="Times New Roman" w:cs="Times New Roman"/>
        </w:rPr>
        <w:t xml:space="preserve"> за об’єктами:</w:t>
      </w:r>
    </w:p>
    <w:p w:rsidR="005058EF" w:rsidRDefault="00371B0D">
      <w:pPr>
        <w:numPr>
          <w:ilvl w:val="0"/>
          <w:numId w:val="3"/>
        </w:numPr>
        <w:ind w:left="142" w:right="-14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капітальний ремонт (роботи з усунення аварії в житловому фонді): роботи з ремонту системи централізованого опалення житлового</w:t>
      </w:r>
      <w:r>
        <w:rPr>
          <w:rFonts w:ascii="Times New Roman" w:hAnsi="Times New Roman" w:cs="Times New Roman"/>
        </w:rPr>
        <w:t xml:space="preserve"> будинку за адресою: м. Одеса,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просп. Небесної Сотні, 55 – на суму 805 400 грн;</w:t>
      </w:r>
    </w:p>
    <w:p w:rsidR="005058EF" w:rsidRDefault="00371B0D">
      <w:pPr>
        <w:numPr>
          <w:ilvl w:val="0"/>
          <w:numId w:val="3"/>
        </w:numPr>
        <w:ind w:left="142" w:right="-14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капітальний ремонт (роботи з усунення аварії в житловому фонді): роботи з ремонту системи централізованого опалення житлового будинку за адресою: м. Одеса,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вул. Академіка Корольова, 6 – на суму 867 400 грн.</w:t>
      </w:r>
    </w:p>
    <w:p w:rsidR="005058EF" w:rsidRDefault="00371B0D">
      <w:pPr>
        <w:ind w:left="142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На зазначені об’єкти виготовлена та оплачена проєктно-кошторисна документація, проте укладання договорів на виконання робіт було призупинено після зливи 30.09.2025 для можливого перерозподіл</w:t>
      </w:r>
      <w:r>
        <w:rPr>
          <w:rFonts w:ascii="Times New Roman" w:hAnsi="Times New Roman" w:cs="Times New Roman"/>
        </w:rPr>
        <w:t>у коштів на об’єкти, які постраждали від стихії. Наразі виконання робіт з ремонту системи централізованого опалення житлового будинку за адресами: м. Одеса, просп. Небесної Сотні, 55 та вул. Ак. Корольова, 6 неможливе у зв’язку з початком опалювального сез</w:t>
      </w:r>
      <w:r>
        <w:rPr>
          <w:rFonts w:ascii="Times New Roman" w:hAnsi="Times New Roman" w:cs="Times New Roman"/>
        </w:rPr>
        <w:t>ону.</w:t>
      </w:r>
    </w:p>
    <w:p w:rsidR="005058EF" w:rsidRDefault="00371B0D">
      <w:pPr>
        <w:ind w:left="142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</w:t>
      </w:r>
      <w:r>
        <w:rPr>
          <w:rFonts w:ascii="Times New Roman" w:hAnsi="Times New Roman" w:cs="Times New Roman"/>
          <w:b/>
          <w:u w:val="single"/>
        </w:rPr>
        <w:t>Не враховувати</w:t>
      </w:r>
      <w:r>
        <w:rPr>
          <w:rFonts w:ascii="Times New Roman" w:hAnsi="Times New Roman" w:cs="Times New Roman"/>
        </w:rPr>
        <w:t xml:space="preserve"> в роботу пропозиції Київської районної адміністрації Одеської міської ради, які надані листом від 30.10.2025 № 768/01-10 щодо визначення бюджетних призначень на проведення капітального ремонту (проведення робіт з усунення аварі</w:t>
      </w:r>
      <w:r>
        <w:rPr>
          <w:rFonts w:ascii="Times New Roman" w:hAnsi="Times New Roman" w:cs="Times New Roman"/>
        </w:rPr>
        <w:t xml:space="preserve">ї у житловому фонді) за адресою: м. Одеса, проспект Князя Ярослава Мудрого, 32 у сумі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5 000 000 грн</w:t>
      </w:r>
      <w:r>
        <w:rPr>
          <w:rFonts w:ascii="Times New Roman" w:hAnsi="Times New Roman" w:cs="Times New Roman"/>
        </w:rPr>
        <w:t xml:space="preserve">. </w:t>
      </w:r>
    </w:p>
    <w:p w:rsidR="005058EF" w:rsidRDefault="00371B0D">
      <w:pPr>
        <w:ind w:left="142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На теперішній час зазначені роботи проводяться за рахунок коштів ОСББ.</w:t>
      </w:r>
    </w:p>
    <w:p w:rsidR="005058EF" w:rsidRDefault="00371B0D">
      <w:pPr>
        <w:ind w:right="-142"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5058EF" w:rsidRDefault="005058EF">
      <w:pPr>
        <w:ind w:left="142" w:righ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058EF" w:rsidRDefault="00371B0D">
      <w:pPr>
        <w:ind w:left="142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Залишити без розгляду пункт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3. </w:t>
      </w:r>
      <w:r>
        <w:rPr>
          <w:rFonts w:ascii="Times New Roman" w:hAnsi="Times New Roman" w:cs="Times New Roman"/>
          <w:b/>
          <w:u w:val="single"/>
        </w:rPr>
        <w:t>Змінити</w:t>
      </w:r>
      <w:r>
        <w:rPr>
          <w:rFonts w:ascii="Times New Roman" w:hAnsi="Times New Roman" w:cs="Times New Roman"/>
        </w:rPr>
        <w:t xml:space="preserve"> пропозицію Київської районної адміністрації Одеської міської ради, яка надана листом від 30.10.2025 № 768/01-10 щодо визначення </w:t>
      </w:r>
      <w:r>
        <w:rPr>
          <w:rFonts w:ascii="Times New Roman" w:hAnsi="Times New Roman" w:cs="Times New Roman"/>
          <w:b/>
          <w:u w:val="single"/>
        </w:rPr>
        <w:t>додаткових</w:t>
      </w:r>
      <w:r>
        <w:rPr>
          <w:rFonts w:ascii="Times New Roman" w:hAnsi="Times New Roman" w:cs="Times New Roman"/>
        </w:rPr>
        <w:t xml:space="preserve"> бюджетних призначень на виплату адресної матеріальної допомоги постраждалим від стихійного лиха, яке сталося у місті</w:t>
      </w:r>
      <w:r>
        <w:rPr>
          <w:rFonts w:ascii="Times New Roman" w:hAnsi="Times New Roman" w:cs="Times New Roman"/>
        </w:rPr>
        <w:t xml:space="preserve"> Одеса 30 вересня 2025 року, та замість з</w:t>
      </w:r>
      <w:r>
        <w:rPr>
          <w:rFonts w:ascii="Times New Roman" w:hAnsi="Times New Roman" w:cs="Times New Roman"/>
          <w:b/>
          <w:u w:val="single"/>
        </w:rPr>
        <w:t>більшення</w:t>
      </w:r>
      <w:r>
        <w:rPr>
          <w:rFonts w:ascii="Times New Roman" w:hAnsi="Times New Roman" w:cs="Times New Roman"/>
        </w:rPr>
        <w:t xml:space="preserve"> бюджетних асигнувань за КПКВКМБ </w:t>
      </w:r>
      <w:r>
        <w:rPr>
          <w:rFonts w:ascii="Times New Roman" w:hAnsi="Times New Roman" w:cs="Times New Roman"/>
          <w:b/>
        </w:rPr>
        <w:t xml:space="preserve">4013242 </w:t>
      </w:r>
      <w:r>
        <w:rPr>
          <w:rFonts w:ascii="Times New Roman" w:hAnsi="Times New Roman" w:cs="Times New Roman"/>
        </w:rPr>
        <w:t xml:space="preserve">«Інші заходи у сфері соціального захисту і соціального забезпечення», КЕКВ 2730 «Інші виплати населенню» на суму </w:t>
      </w:r>
      <w:r>
        <w:rPr>
          <w:rFonts w:ascii="Times New Roman" w:hAnsi="Times New Roman" w:cs="Times New Roman"/>
          <w:b/>
        </w:rPr>
        <w:t>22 171 100 грн</w:t>
      </w:r>
      <w:r>
        <w:rPr>
          <w:rFonts w:ascii="Times New Roman" w:hAnsi="Times New Roman" w:cs="Times New Roman"/>
        </w:rPr>
        <w:t xml:space="preserve"> визначити </w:t>
      </w:r>
      <w:r>
        <w:rPr>
          <w:rFonts w:ascii="Times New Roman" w:hAnsi="Times New Roman" w:cs="Times New Roman"/>
          <w:b/>
          <w:u w:val="single"/>
        </w:rPr>
        <w:t>додатково</w:t>
      </w:r>
      <w:r>
        <w:rPr>
          <w:rFonts w:ascii="Times New Roman" w:hAnsi="Times New Roman" w:cs="Times New Roman"/>
        </w:rPr>
        <w:t xml:space="preserve"> видатки за КПКВК </w:t>
      </w:r>
      <w:r>
        <w:rPr>
          <w:rFonts w:ascii="Times New Roman" w:hAnsi="Times New Roman" w:cs="Times New Roman"/>
          <w:b/>
        </w:rPr>
        <w:t>4013242</w:t>
      </w:r>
      <w:r>
        <w:rPr>
          <w:rFonts w:ascii="Times New Roman" w:hAnsi="Times New Roman" w:cs="Times New Roman"/>
        </w:rPr>
        <w:t xml:space="preserve"> «Інші заходи у сфері соціального захисту і соціального забезпечення», КЕКВ 2730 «Інші виплати населенню» у сумі </w:t>
      </w:r>
      <w:r>
        <w:rPr>
          <w:rFonts w:ascii="Times New Roman" w:hAnsi="Times New Roman" w:cs="Times New Roman"/>
          <w:b/>
        </w:rPr>
        <w:t>16 300 000 грн</w:t>
      </w:r>
      <w:r>
        <w:rPr>
          <w:rFonts w:ascii="Times New Roman" w:hAnsi="Times New Roman" w:cs="Times New Roman"/>
        </w:rPr>
        <w:t xml:space="preserve">.  </w:t>
      </w:r>
    </w:p>
    <w:p w:rsidR="005058EF" w:rsidRDefault="00371B0D">
      <w:pPr>
        <w:ind w:left="142" w:righ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</w:rPr>
        <w:t xml:space="preserve">      Зазначене пов’язане з тим, що фахівцями райадміністрації проведено узагальнення уточнених даних про розмір шкоди</w:t>
      </w:r>
      <w:r>
        <w:rPr>
          <w:rFonts w:ascii="Times New Roman" w:hAnsi="Times New Roman" w:cs="Times New Roman"/>
        </w:rPr>
        <w:t xml:space="preserve"> відповідно до актів обстежень усіх приміщень, які постраждали від стихійного лиха, яке сталося у місті Одеса 30 вересня 2025 року, в результаті чого обсяг додаткових коштів, необхідних для забезпечення виплати адресної матеріальної допомоги орієнтовно скл</w:t>
      </w:r>
      <w:r>
        <w:rPr>
          <w:rFonts w:ascii="Times New Roman" w:hAnsi="Times New Roman" w:cs="Times New Roman"/>
        </w:rPr>
        <w:t xml:space="preserve">адає 16 300 000 грн.    </w:t>
      </w:r>
      <w:r>
        <w:rPr>
          <w:rFonts w:ascii="Times New Roman" w:hAnsi="Times New Roman" w:cs="Times New Roman"/>
          <w:lang w:val="uk-UA"/>
        </w:rPr>
        <w:t>-</w:t>
      </w:r>
    </w:p>
    <w:p w:rsidR="005058EF" w:rsidRDefault="005058EF">
      <w:pPr>
        <w:ind w:right="-142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058EF" w:rsidRDefault="00371B0D">
      <w:pPr>
        <w:ind w:right="-142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ВИСНОВОК: Погодити Київській районній адміністрації </w:t>
      </w:r>
      <w:r>
        <w:rPr>
          <w:rFonts w:ascii="Times New Roman" w:hAnsi="Times New Roman" w:cs="Times New Roman"/>
          <w:sz w:val="28"/>
          <w:szCs w:val="28"/>
        </w:rPr>
        <w:t>внесення змін до бюджету Одеської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пунктами 1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 листа № 01-12/1357 від 14.11.2025 року. Пункт 3 листа залишити без розгляду. </w:t>
      </w:r>
    </w:p>
    <w:p w:rsidR="005058EF" w:rsidRDefault="005058EF">
      <w:pPr>
        <w:ind w:right="-142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5058EF">
      <w:pPr>
        <w:ind w:right="-142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ЛУХАЛИ: Інформацію за зверненням Управління з фізичної культури та спорту Одеської міської ради щодо перерозподілу бюджетних асигнувань (лист № 01-23/387 від 13.11.2025 року).</w:t>
      </w:r>
    </w:p>
    <w:p w:rsidR="005058EF" w:rsidRDefault="00371B0D">
      <w:pPr>
        <w:pStyle w:val="Default"/>
        <w:ind w:firstLineChars="171" w:firstLine="47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Голосували за погодження </w:t>
      </w:r>
      <w:r>
        <w:rPr>
          <w:sz w:val="28"/>
          <w:szCs w:val="28"/>
          <w:lang w:val="uk-UA"/>
        </w:rPr>
        <w:t>Управлінню з фізичної культури та спорту Одеської міськ</w:t>
      </w:r>
      <w:r>
        <w:rPr>
          <w:sz w:val="28"/>
          <w:szCs w:val="28"/>
          <w:lang w:val="uk-UA"/>
        </w:rPr>
        <w:t>ої ради перерозподілу бюджетних асигнувань в межах, затверджених за КПКВ 1115031 та КПКВ 1115063 на загальну 194000,00 грн згідно додатку (додається):</w:t>
      </w:r>
    </w:p>
    <w:p w:rsidR="005058EF" w:rsidRDefault="00371B0D">
      <w:pPr>
        <w:pStyle w:val="Default"/>
        <w:ind w:firstLineChars="171" w:firstLine="48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- одноголосно.</w:t>
      </w: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Управлінню з фізичної культури та спорту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 бюджетних асигнувань за листом № 01-23/387 від 13.11.2025 року.</w:t>
      </w:r>
    </w:p>
    <w:p w:rsidR="005058EF" w:rsidRDefault="005058EF">
      <w:pPr>
        <w:pStyle w:val="Default"/>
        <w:ind w:firstLineChars="171" w:firstLine="479"/>
        <w:jc w:val="both"/>
        <w:rPr>
          <w:sz w:val="28"/>
          <w:szCs w:val="28"/>
          <w:lang w:val="uk-UA"/>
        </w:rPr>
      </w:pPr>
    </w:p>
    <w:p w:rsidR="005058EF" w:rsidRDefault="005058EF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директора Департаменту міського господарства Одеської міської ради Леоніда Гребенюка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зменшення та перерозподілу бюджетних призначень (листи  № 01-57/120</w:t>
      </w:r>
      <w:r>
        <w:rPr>
          <w:rFonts w:ascii="Times New Roman" w:hAnsi="Times New Roman" w:cs="Times New Roman"/>
          <w:sz w:val="28"/>
          <w:szCs w:val="28"/>
          <w:lang w:val="uk-UA"/>
        </w:rPr>
        <w:t>8 вих та  № 01-57/1209 вих від 14.11.2025 року).</w:t>
      </w: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О.О., Звягін О.С.</w:t>
      </w: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епартаменту фінансів Одеської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надати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  <w:lang w:val="uk-UA"/>
        </w:rPr>
        <w:t>ісії</w:t>
      </w:r>
      <w:r>
        <w:rPr>
          <w:rFonts w:ascii="Times New Roman" w:hAnsi="Times New Roman" w:cs="Times New Roman"/>
          <w:sz w:val="28"/>
          <w:szCs w:val="28"/>
        </w:rPr>
        <w:t xml:space="preserve"> пропозиц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даних листів.  </w:t>
      </w:r>
    </w:p>
    <w:p w:rsidR="005058EF" w:rsidRDefault="005058E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5058E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за зверненням дире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ктора Департаменту муніципальної безпеки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>району Одеської області проєкту рішення «Про внесення змін до Міської цільової програми «Безпечне місто Одеса» на 2020-2028 роки», затвердженої рішенням Одеської міської ради від 18 березня 2020 року № 5797-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» (лист № 01.1-17/969 від 14.11.2025 року)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уточнений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проєкт рішення «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проєкту рішення «Про внесення змін до Міської цільової програми «Безпечне місто Одеса» на 2020-2028 роки», затвердже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>ної  рішенням Одеської міської ради від 18 березня 2020 року № 5797-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5058EF" w:rsidRDefault="00371B0D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Підтримати проєкт рішення «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проєкту рішення «Про 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до Міської цільової програми «Безпечне 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місто Одеса» на 2020-2028 роки», затвердженої  рішенням Одеської міської ради від 18 березня 2020 року № 5797-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9A349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» (проєкт рішення додається) та внести його на розгляд чергової сесії Одеської міської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058EF" w:rsidRDefault="005058EF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58EF" w:rsidRDefault="005058EF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58EF" w:rsidRDefault="00371B0D">
      <w:pPr>
        <w:pStyle w:val="a5"/>
        <w:tabs>
          <w:tab w:val="left" w:pos="-5940"/>
          <w:tab w:val="left" w:pos="993"/>
        </w:tabs>
        <w:ind w:left="0" w:right="-426" w:firstLineChars="171" w:firstLine="47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Голосували за 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муніципальної безпеки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додаткового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фінансування у сумі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 тис. гривень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val="uk-UA" w:eastAsia="en-US"/>
        </w:rPr>
        <w:t xml:space="preserve">реалізацію заходів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Міської цільової програми «Безпечне місто Одеса» на 2020-2028 роки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:</w:t>
      </w:r>
    </w:p>
    <w:p w:rsidR="005058EF" w:rsidRDefault="00371B0D">
      <w:pPr>
        <w:pStyle w:val="a5"/>
        <w:tabs>
          <w:tab w:val="left" w:pos="-5940"/>
          <w:tab w:val="left" w:pos="993"/>
        </w:tabs>
        <w:ind w:left="0" w:right="-426" w:firstLineChars="171" w:firstLine="481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>За - одноголосно.</w:t>
      </w:r>
    </w:p>
    <w:p w:rsidR="005058EF" w:rsidRDefault="00371B0D">
      <w:pPr>
        <w:pStyle w:val="a5"/>
        <w:tabs>
          <w:tab w:val="left" w:pos="-5940"/>
          <w:tab w:val="left" w:pos="993"/>
        </w:tabs>
        <w:ind w:left="0" w:right="-426" w:firstLineChars="171" w:firstLine="47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ВИСНОВОК: Погодити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муніципальної безпеки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у сумі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,00 тис. гривень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val="uk-UA" w:eastAsia="en-US"/>
        </w:rPr>
        <w:t xml:space="preserve">реалізацію заходів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Міської цільової програми «Безпечне місто Одеса» на 2020-2028 роки.</w:t>
      </w: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поправок 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 xml:space="preserve"> уточнену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поправку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058EF" w:rsidRDefault="00371B0D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 поправку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 (поправка додається).</w:t>
      </w:r>
    </w:p>
    <w:p w:rsidR="005058EF" w:rsidRDefault="005058E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поправку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</w:t>
      </w:r>
      <w:r>
        <w:rPr>
          <w:rFonts w:ascii="Times New Roman" w:hAnsi="Times New Roman" w:cs="Times New Roman"/>
          <w:sz w:val="28"/>
          <w:szCs w:val="28"/>
          <w:lang w:val="uk-UA"/>
        </w:rPr>
        <w:t>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 (</w:t>
      </w:r>
      <w:r w:rsidRPr="009A349E">
        <w:rPr>
          <w:rFonts w:ascii="Times New Roman" w:hAnsi="Times New Roman" w:cs="Times New Roman"/>
          <w:sz w:val="28"/>
          <w:szCs w:val="28"/>
          <w:lang w:val="uk-UA"/>
        </w:rPr>
        <w:t>забезпечення функціонування Департаменту у справах ветеранів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058EF" w:rsidRDefault="00371B0D">
      <w:pPr>
        <w:ind w:firstLineChars="171" w:firstLine="4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 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одноголосно.</w:t>
      </w:r>
    </w:p>
    <w:p w:rsidR="005058EF" w:rsidRDefault="00371B0D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 поправку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 (п</w:t>
      </w:r>
      <w:r>
        <w:rPr>
          <w:rFonts w:ascii="Times New Roman" w:hAnsi="Times New Roman" w:cs="Times New Roman"/>
          <w:sz w:val="28"/>
          <w:szCs w:val="28"/>
          <w:lang w:val="uk-UA"/>
        </w:rPr>
        <w:t>оправка додається).</w:t>
      </w:r>
    </w:p>
    <w:p w:rsidR="005058EF" w:rsidRPr="009A349E" w:rsidRDefault="005058EF">
      <w:pPr>
        <w:ind w:leftChars="-100" w:left="-240" w:firstLineChars="85" w:firstLine="23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058EF" w:rsidRPr="009A349E" w:rsidRDefault="005058EF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5058EF" w:rsidRDefault="005058E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5058E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8EF" w:rsidRDefault="00371B0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1" w:name="_GoBack"/>
      <w:bookmarkEnd w:id="1"/>
    </w:p>
    <w:sectPr w:rsidR="005058EF">
      <w:pgSz w:w="11906" w:h="16838"/>
      <w:pgMar w:top="1440" w:right="986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0D" w:rsidRDefault="00371B0D">
      <w:r>
        <w:separator/>
      </w:r>
    </w:p>
  </w:endnote>
  <w:endnote w:type="continuationSeparator" w:id="0">
    <w:p w:rsidR="00371B0D" w:rsidRDefault="0037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0D" w:rsidRDefault="00371B0D">
      <w:r>
        <w:separator/>
      </w:r>
    </w:p>
  </w:footnote>
  <w:footnote w:type="continuationSeparator" w:id="0">
    <w:p w:rsidR="00371B0D" w:rsidRDefault="0037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274"/>
    <w:multiLevelType w:val="multilevel"/>
    <w:tmpl w:val="076012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6620"/>
    <w:multiLevelType w:val="multilevel"/>
    <w:tmpl w:val="0DFD6620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4CF2"/>
    <w:rsid w:val="00371B0D"/>
    <w:rsid w:val="005058EF"/>
    <w:rsid w:val="009A349E"/>
    <w:rsid w:val="5AFA4CF2"/>
    <w:rsid w:val="719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FD62B-11E9-4049-BC86-518BCB9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4">
    <w:name w:val="No Spacing"/>
    <w:uiPriority w:val="1"/>
    <w:qFormat/>
    <w:rPr>
      <w:rFonts w:eastAsiaTheme="minorHAnsi"/>
      <w:sz w:val="22"/>
      <w:szCs w:val="22"/>
      <w:lang w:eastAsia="en-US"/>
    </w:rPr>
  </w:style>
  <w:style w:type="table" w:customStyle="1" w:styleId="1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8263</Words>
  <Characters>4711</Characters>
  <Application>Microsoft Office Word</Application>
  <DocSecurity>0</DocSecurity>
  <Lines>39</Lines>
  <Paragraphs>25</Paragraphs>
  <ScaleCrop>false</ScaleCrop>
  <Company>SPecialiST RePack</Company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2025-12-11T08:42:00Z</dcterms:created>
  <dcterms:modified xsi:type="dcterms:W3CDTF">2025-12-23T15:45:00Z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B1B237B4765A46F9B91994096D429E5E_11</vt:lpwstr>
  </property>
</Properties>
</file>