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5C" w:rsidRDefault="007F320B">
      <w:pPr>
        <w:rPr>
          <w:rFonts w:ascii="Times New Roman" w:eastAsia="Calibri" w:hAnsi="Times New Roman" w:cs="Times New Roman"/>
          <w:sz w:val="20"/>
          <w:szCs w:val="20"/>
          <w:lang w:val="uk-UA" w:eastAsia="uk-UA" w:bidi="ar-S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235C" w:rsidRDefault="007F320B">
      <w:pPr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99235C" w:rsidRDefault="0099235C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99235C" w:rsidRDefault="0099235C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99235C" w:rsidRDefault="007F320B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99235C" w:rsidRDefault="0099235C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99235C" w:rsidRDefault="007F320B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99235C" w:rsidRDefault="007F320B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99235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99235C" w:rsidRDefault="0099235C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99235C" w:rsidRDefault="007F320B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99235C" w:rsidRDefault="0099235C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99235C" w:rsidRDefault="007F320B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99235C" w:rsidRDefault="0099235C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99235C" w:rsidRDefault="007F320B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99235C" w:rsidRDefault="007F320B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99235C" w:rsidRDefault="009923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99235C" w:rsidRDefault="007F32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99235C" w:rsidRDefault="009923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06 лютого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235C" w:rsidRDefault="009923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99235C" w:rsidRDefault="007F320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99235C" w:rsidRDefault="007F320B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99235C" w:rsidRDefault="007F320B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99235C" w:rsidRDefault="007F320B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99235C" w:rsidRDefault="007F320B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99235C" w:rsidRDefault="0099235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99235C" w:rsidRDefault="007F320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99235C" w:rsidRDefault="0099235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816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6074"/>
      </w:tblGrid>
      <w:tr w:rsidR="0099235C">
        <w:tc>
          <w:tcPr>
            <w:tcW w:w="3742" w:type="dxa"/>
          </w:tcPr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99235C" w:rsidRDefault="00992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Одеської міської ради; </w:t>
            </w:r>
          </w:p>
        </w:tc>
      </w:tr>
      <w:tr w:rsidR="0099235C">
        <w:trPr>
          <w:trHeight w:val="70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Полохач</w:t>
            </w: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Анатолійович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99235C" w:rsidRDefault="00992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5C" w:rsidRDefault="00992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заступник директора Департаменту муніципальної безпеки Одеської міської ради;</w:t>
            </w:r>
          </w:p>
        </w:tc>
      </w:tr>
      <w:tr w:rsidR="0099235C">
        <w:trPr>
          <w:trHeight w:val="707"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</w:t>
            </w: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Володимир Олександрович 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5C" w:rsidRDefault="00992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99235C" w:rsidRDefault="007F3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депутат  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99235C" w:rsidRDefault="00992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99235C" w:rsidRDefault="0099235C">
      <w:pPr>
        <w:rPr>
          <w:rFonts w:ascii="Times New Roman" w:hAnsi="Times New Roman" w:cs="Times New Roman"/>
          <w:lang w:val="uk-UA"/>
        </w:rPr>
      </w:pPr>
    </w:p>
    <w:p w:rsidR="0099235C" w:rsidRDefault="0099235C">
      <w:pPr>
        <w:rPr>
          <w:rFonts w:ascii="Times New Roman" w:hAnsi="Times New Roman" w:cs="Times New Roman"/>
          <w:lang w:val="uk-UA"/>
        </w:rPr>
      </w:pPr>
    </w:p>
    <w:p w:rsidR="0099235C" w:rsidRDefault="007F32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Приймаючи до уваги те, що документи, що розглядаються, мають ознаки державної таємниці, початок засідання комісії проводилось </w:t>
      </w:r>
    </w:p>
    <w:p w:rsidR="0099235C" w:rsidRDefault="007F32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закритому режимі.</w:t>
      </w:r>
    </w:p>
    <w:p w:rsidR="0099235C" w:rsidRDefault="0099235C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Pr="003021B9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СЛУХАЛИ: Інформацію в.о. директора Департаменту фінансів Одеської міської ради Галини Савченко щодо </w:t>
      </w:r>
      <w:r w:rsidRPr="003021B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змін до бюджету 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04-25/30/244 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35C" w:rsidRDefault="007F320B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зміни до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9235C" w:rsidRDefault="007F320B">
      <w:pPr>
        <w:ind w:firstLineChars="171" w:firstLine="410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Відповідно до довідки про зміни до річного розпису бюджет</w:t>
      </w:r>
      <w:r>
        <w:rPr>
          <w:rFonts w:ascii="Times New Roman" w:hAnsi="Times New Roman" w:cs="Times New Roman"/>
          <w:lang w:val="uk-UA"/>
        </w:rPr>
        <w:t>у на 2026 рік від 14.01.2026 № 15 Департаменту фінансів Одеської обласної державної (військової) адміністрації (копія додається) розпорядженням Одеської обласної державної (військової) адміністрації від 12.01.2026 № 19/А-2026 бюджету Одеської міської терит</w:t>
      </w:r>
      <w:r>
        <w:rPr>
          <w:rFonts w:ascii="Times New Roman" w:hAnsi="Times New Roman" w:cs="Times New Roman"/>
          <w:lang w:val="uk-UA"/>
        </w:rPr>
        <w:t>оріальної громади визначені «Інші субвенції з місцевого бюджету» на заохочення та відзначення осіб  (працівників), які виконують роботи з будівництва фортифікаційних споруд на територіях, де ведуться бойові дії у сумі 713 700 грн.</w:t>
      </w:r>
    </w:p>
    <w:p w:rsidR="0099235C" w:rsidRDefault="007F320B">
      <w:pPr>
        <w:ind w:firstLineChars="171" w:firstLine="410"/>
        <w:jc w:val="both"/>
        <w:rPr>
          <w:rFonts w:ascii="Times New Roman" w:hAnsi="Times New Roman" w:cs="Times New Roman"/>
          <w:lang w:val="uk-UA"/>
        </w:rPr>
      </w:pPr>
      <w:bookmarkStart w:id="0" w:name="_Hlk190955213"/>
      <w:r>
        <w:rPr>
          <w:rFonts w:ascii="Times New Roman" w:hAnsi="Times New Roman" w:cs="Times New Roman"/>
          <w:lang w:val="uk-UA"/>
        </w:rPr>
        <w:t>Одеською районною державною (військовою) адміністрацією надано перелік працівників, які виконували роботи з будівництва фортифікаційних споруд на територіях, де ведуться бойові дії, наданий Одеською міською радою із зазначенням ПІБ, посади, періоду знаходж</w:t>
      </w:r>
      <w:r>
        <w:rPr>
          <w:rFonts w:ascii="Times New Roman" w:hAnsi="Times New Roman" w:cs="Times New Roman"/>
          <w:lang w:val="uk-UA"/>
        </w:rPr>
        <w:t>ення, кількості днів та комунальних підприємств, за якими ці працівники закріплені із зазначенням переліку відпрацьованих днів, загальна кількість яких становить 450 днів. Нарахування та відзначення осіб здійснюється у розмірі 1 586,00 (Одна тисяча п'ятсот</w:t>
      </w:r>
      <w:r>
        <w:rPr>
          <w:rFonts w:ascii="Times New Roman" w:hAnsi="Times New Roman" w:cs="Times New Roman"/>
          <w:lang w:val="uk-UA"/>
        </w:rPr>
        <w:t xml:space="preserve"> вісімдесят шість гривень 00 коп.) грн. на 1 особу за 1 день виконання таких робіт. В суму входить ЄСВ (єдиний соціальний внесок) – 22 %, ПДФО (податок на доходи фізичних осіб) – 18 % та ВС (військовий збір) – 5 %. </w:t>
      </w:r>
    </w:p>
    <w:bookmarkEnd w:id="0"/>
    <w:p w:rsidR="0099235C" w:rsidRDefault="007F320B">
      <w:pPr>
        <w:ind w:firstLineChars="171" w:firstLine="4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Враховуючи вищенаведене, та листи головн</w:t>
      </w:r>
      <w:r>
        <w:rPr>
          <w:rFonts w:ascii="Times New Roman" w:hAnsi="Times New Roman" w:cs="Times New Roman"/>
          <w:lang w:val="uk-UA"/>
        </w:rPr>
        <w:t xml:space="preserve">их розпорядників бюджетних коштів (копії додаються) надаємо наступні пропозиції щодо внесення змін до загального фонду бюджету Одеської міської територіальної громади на 2026 рік:   </w:t>
      </w:r>
      <w:r>
        <w:rPr>
          <w:rFonts w:ascii="Times New Roman" w:hAnsi="Times New Roman" w:cs="Times New Roman"/>
          <w:lang w:val="uk-UA"/>
        </w:rPr>
        <w:tab/>
      </w:r>
    </w:p>
    <w:tbl>
      <w:tblPr>
        <w:tblStyle w:val="1"/>
        <w:tblW w:w="905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151"/>
        <w:gridCol w:w="1984"/>
        <w:gridCol w:w="2771"/>
        <w:gridCol w:w="1147"/>
      </w:tblGrid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КПКВКМБ</w:t>
            </w:r>
          </w:p>
        </w:tc>
        <w:tc>
          <w:tcPr>
            <w:tcW w:w="1984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Одержувач бюджетних коштів</w:t>
            </w:r>
          </w:p>
        </w:tc>
        <w:tc>
          <w:tcPr>
            <w:tcW w:w="1147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Сума, грн</w:t>
            </w:r>
          </w:p>
        </w:tc>
      </w:tr>
      <w:tr w:rsidR="0099235C">
        <w:trPr>
          <w:trHeight w:val="1278"/>
        </w:trPr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1216012 «Забезпечення діяльності з виробництва, транспортування, постачання теплової енергії» (видатки розвитку)</w:t>
            </w:r>
          </w:p>
        </w:tc>
        <w:tc>
          <w:tcPr>
            <w:tcW w:w="1984" w:type="dxa"/>
            <w:vMerge w:val="restart"/>
            <w:vAlign w:val="center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Департамент міського господарства Одеської міської ради</w:t>
            </w:r>
          </w:p>
          <w:p w:rsidR="0099235C" w:rsidRDefault="0099235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КП «Теплопостачання міста Одеси» </w:t>
            </w:r>
          </w:p>
        </w:tc>
        <w:tc>
          <w:tcPr>
            <w:tcW w:w="1147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95 160</w:t>
            </w:r>
          </w:p>
        </w:tc>
      </w:tr>
      <w:tr w:rsidR="0099235C">
        <w:trPr>
          <w:trHeight w:val="924"/>
        </w:trPr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1216030 «Організація благоустрою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населених пунктів»</w:t>
            </w:r>
          </w:p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(видатки розвитку)</w:t>
            </w:r>
          </w:p>
        </w:tc>
        <w:tc>
          <w:tcPr>
            <w:tcW w:w="1984" w:type="dxa"/>
            <w:vMerge/>
          </w:tcPr>
          <w:p w:rsidR="0099235C" w:rsidRDefault="0099235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РАЗОМ, у тому числі: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«Міські дороги»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«Міськзелентрест»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«ОЕЕМП»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190 320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95 160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</w:tc>
      </w:tr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1216090 «Інша діяльність у сфері житлово-комунального господарства» (видатки розвитку)</w:t>
            </w:r>
          </w:p>
        </w:tc>
        <w:tc>
          <w:tcPr>
            <w:tcW w:w="1984" w:type="dxa"/>
            <w:vMerge/>
          </w:tcPr>
          <w:p w:rsidR="0099235C" w:rsidRDefault="0099235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КП «Сервісний центр»</w:t>
            </w:r>
          </w:p>
          <w:p w:rsidR="0099235C" w:rsidRDefault="0099235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47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580</w:t>
            </w:r>
          </w:p>
        </w:tc>
      </w:tr>
      <w:tr w:rsidR="0099235C"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333 060</w:t>
            </w:r>
          </w:p>
        </w:tc>
      </w:tr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1917421 «Утримання та розвиток наземного електротранспорту»  (видатки розвитку)</w:t>
            </w:r>
          </w:p>
        </w:tc>
        <w:tc>
          <w:tcPr>
            <w:tcW w:w="1984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Департамент транспорту, зв’язку та організації дорожнього руху Одеської міської ради</w:t>
            </w: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КП «Одесміськелектротранс» 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95 160</w:t>
            </w:r>
          </w:p>
        </w:tc>
      </w:tr>
      <w:tr w:rsidR="0099235C">
        <w:trPr>
          <w:trHeight w:val="337"/>
        </w:trPr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95 160</w:t>
            </w:r>
          </w:p>
          <w:p w:rsidR="0099235C" w:rsidRDefault="009923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 xml:space="preserve">4016017 «Інша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діяльність, пов’язана з експлуатацією об’єктів житлово-комунального господарства» (видатки розвитку)</w:t>
            </w:r>
          </w:p>
        </w:tc>
        <w:tc>
          <w:tcPr>
            <w:tcW w:w="1984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Київська районна адміністрація Одеської міської ради</w:t>
            </w: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РАЗОМ, у тому числі: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«Вузівський»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«Чорноморський»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95 160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</w:tc>
      </w:tr>
      <w:tr w:rsidR="0099235C"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95 160</w:t>
            </w:r>
          </w:p>
        </w:tc>
      </w:tr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4116017 «Інша діяльність, пов’язана з експлуатацією об’єктів житлово-комунального господарства» (видатки розвитку)</w:t>
            </w:r>
          </w:p>
        </w:tc>
        <w:tc>
          <w:tcPr>
            <w:tcW w:w="1984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Хаджибейська районна адміністрація Одеської міської ради</w:t>
            </w: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РАЗОМ, у тому числі:</w:t>
            </w:r>
          </w:p>
          <w:p w:rsidR="0099235C" w:rsidRDefault="007F320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«Хмельницький»</w:t>
            </w:r>
          </w:p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КП «ЖКС «Черьомушки»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95 160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47 580</w:t>
            </w:r>
          </w:p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47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580</w:t>
            </w:r>
          </w:p>
        </w:tc>
      </w:tr>
      <w:tr w:rsidR="0099235C"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95 160</w:t>
            </w:r>
          </w:p>
        </w:tc>
      </w:tr>
      <w:tr w:rsidR="0099235C">
        <w:tc>
          <w:tcPr>
            <w:tcW w:w="3151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4216017 «Інша діяльність, пов’язана з експлуатацією об’єктів житлово-комунального господарства» (видатки розвитку)</w:t>
            </w:r>
          </w:p>
        </w:tc>
        <w:tc>
          <w:tcPr>
            <w:tcW w:w="1984" w:type="dxa"/>
          </w:tcPr>
          <w:p w:rsidR="0099235C" w:rsidRDefault="007F320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Приморська районна адміністрація Одеської міської ради</w:t>
            </w: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КП «ЖКС «Порто-Франківський»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95 160</w:t>
            </w:r>
          </w:p>
          <w:p w:rsidR="0099235C" w:rsidRDefault="009923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:rsidR="0099235C" w:rsidRDefault="009923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  <w:p w:rsidR="0099235C" w:rsidRDefault="009923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</w:tr>
      <w:tr w:rsidR="0099235C"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95 160</w:t>
            </w:r>
          </w:p>
        </w:tc>
      </w:tr>
      <w:tr w:rsidR="0099235C">
        <w:trPr>
          <w:trHeight w:val="312"/>
        </w:trPr>
        <w:tc>
          <w:tcPr>
            <w:tcW w:w="3151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</w:tcPr>
          <w:p w:rsidR="0099235C" w:rsidRDefault="0099235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71" w:type="dxa"/>
          </w:tcPr>
          <w:p w:rsidR="0099235C" w:rsidRDefault="007F320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47" w:type="dxa"/>
          </w:tcPr>
          <w:p w:rsidR="0099235C" w:rsidRDefault="007F32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713 700</w:t>
            </w:r>
          </w:p>
        </w:tc>
      </w:tr>
    </w:tbl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 xml:space="preserve">Довідково: Інформуємо, що відповідно до листа Департаменту міського господарства Одеської міської ради один працівник від КП «Міські дороги» перебував на </w:t>
      </w:r>
      <w:r>
        <w:rPr>
          <w:rFonts w:ascii="Times New Roman" w:hAnsi="Times New Roman" w:cs="Times New Roman"/>
          <w:bCs/>
          <w:lang w:val="uk-UA"/>
        </w:rPr>
        <w:t>будівництві</w:t>
      </w:r>
      <w:r>
        <w:rPr>
          <w:rFonts w:ascii="Times New Roman" w:hAnsi="Times New Roman" w:cs="Times New Roman"/>
          <w:lang w:val="uk-UA"/>
        </w:rPr>
        <w:t xml:space="preserve"> фортифікаційних споруд на територіях, де ведуться бойові дії, на один день менше,</w:t>
      </w:r>
      <w:r>
        <w:rPr>
          <w:rFonts w:ascii="Times New Roman" w:hAnsi="Times New Roman" w:cs="Times New Roman"/>
          <w:lang w:val="uk-UA"/>
        </w:rPr>
        <w:t xml:space="preserve"> про що проінформовано Департамент фінансів Одеської обласної державної (військової) адміністрації. В подальшому, після надходження довідки від Департаменту фінансів Одеської обласної державної (військової) адміністрації про зміни до річного розпису бюджет</w:t>
      </w:r>
      <w:r>
        <w:rPr>
          <w:rFonts w:ascii="Times New Roman" w:hAnsi="Times New Roman" w:cs="Times New Roman"/>
          <w:lang w:val="uk-UA"/>
        </w:rPr>
        <w:t>у на 2026 рік по видаткам «Інші субвенції з місцевого бюджету» будуть надані відповідні зміни до бюджету Одеської міської територіальної громади на 2026 рік.</w:t>
      </w:r>
    </w:p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Одночасно пропонується збільшення доходів загального фонду за ККДБ  41053900 «Інші субвенції з міс</w:t>
      </w:r>
      <w:r>
        <w:rPr>
          <w:rFonts w:ascii="Times New Roman" w:hAnsi="Times New Roman" w:cs="Times New Roman"/>
          <w:lang w:val="uk-UA"/>
        </w:rPr>
        <w:t>цевого бюджету» на суму 713 700 грн.</w:t>
      </w:r>
    </w:p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На рахунках спеціального фонду бюджету Одеської міської територіальної громади рахується залишок Освітньої субвенції з державного бюджету місцевим бюджетам (за спеціальним фондом державного бюджету) в частині забезпе</w:t>
      </w:r>
      <w:r>
        <w:rPr>
          <w:rFonts w:ascii="Times New Roman" w:hAnsi="Times New Roman" w:cs="Times New Roman"/>
          <w:lang w:val="uk-UA"/>
        </w:rPr>
        <w:t>чення харчуванням учнів закладів загальної середньої освіти, отриманої у 2025 році, у сумі 515 грн.</w:t>
      </w:r>
    </w:p>
    <w:p w:rsidR="0099235C" w:rsidRDefault="007F320B">
      <w:pPr>
        <w:pStyle w:val="a5"/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39 Закону України «Про Державний бюджет на 2026 рік» установлено, що у 2026 році, як виняток з положень частин другої і четвертої </w:t>
      </w:r>
      <w:r>
        <w:rPr>
          <w:rFonts w:ascii="Times New Roman" w:hAnsi="Times New Roman" w:cs="Times New Roman"/>
          <w:sz w:val="24"/>
          <w:szCs w:val="24"/>
          <w:lang w:val="uk-UA"/>
        </w:rPr>
        <w:t>статті 103-2 Бюджетного кодексу України залишки коштів за освітньою субвенцією з державного бюджету місцевим бюджетам, які утворилися на рахунках місцевих бюджетів на кінець 2025 року (крім залишків коштів, перерахованих у 2025 році відповідно до статті 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Державний бюджет України на 2025 рік» до місцевих бюджетів),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</w:t>
      </w:r>
      <w:r>
        <w:rPr>
          <w:rFonts w:ascii="Times New Roman" w:hAnsi="Times New Roman" w:cs="Times New Roman"/>
          <w:sz w:val="24"/>
          <w:szCs w:val="24"/>
          <w:lang w:val="uk-UA"/>
        </w:rPr>
        <w:t>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освіти (з відкриттям у разі потреби нових бюджетних програм, вкл</w:t>
      </w:r>
      <w:r>
        <w:rPr>
          <w:rFonts w:ascii="Times New Roman" w:hAnsi="Times New Roman" w:cs="Times New Roman"/>
          <w:sz w:val="24"/>
          <w:szCs w:val="24"/>
          <w:lang w:val="uk-UA"/>
        </w:rPr>
        <w:t>ючаючи трансферти місцевим бюджетам).</w:t>
      </w:r>
    </w:p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Зважаючи на вищевказане, головним розпорядником бюджетних коштів – Департаментом освіти та науки Одеської міської ради надані пропозиції (копія листа додається) щодо збільшення бюджетних призначень спеціального фонду б</w:t>
      </w:r>
      <w:r>
        <w:rPr>
          <w:rFonts w:ascii="Times New Roman" w:hAnsi="Times New Roman" w:cs="Times New Roman"/>
          <w:lang w:val="uk-UA"/>
        </w:rPr>
        <w:t xml:space="preserve">юджету за КПКВКМБ 0611279 «Реалізація заходів за рахунок освітньої субвенції з державного </w:t>
      </w:r>
      <w:r>
        <w:rPr>
          <w:rFonts w:ascii="Times New Roman" w:hAnsi="Times New Roman" w:cs="Times New Roman"/>
          <w:lang w:val="uk-UA"/>
        </w:rPr>
        <w:lastRenderedPageBreak/>
        <w:t>бюджету місцевим бюджетам (за спеціальним фондом державного бюджету) на забезпечення харчуванням учнів закладів загальної середньої освіти» та КЕКВ 2230 «Продукти хар</w:t>
      </w:r>
      <w:r>
        <w:rPr>
          <w:rFonts w:ascii="Times New Roman" w:hAnsi="Times New Roman" w:cs="Times New Roman"/>
          <w:lang w:val="uk-UA"/>
        </w:rPr>
        <w:t>чування» на суму 515 грн.</w:t>
      </w:r>
    </w:p>
    <w:p w:rsidR="0099235C" w:rsidRDefault="007F320B">
      <w:pPr>
        <w:pStyle w:val="a5"/>
        <w:tabs>
          <w:tab w:val="left" w:pos="851"/>
        </w:tabs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Визначення додаткових бюджетних призначень за пунктом 2 цього листа на  суму 515 грн пропонується за рахунок залишку коштів бюджету Одеської міської територіальної громади, який утворився на кінець 2025 року.</w:t>
      </w:r>
    </w:p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3. Хаджибейською рай</w:t>
      </w:r>
      <w:r>
        <w:rPr>
          <w:rFonts w:ascii="Times New Roman" w:hAnsi="Times New Roman" w:cs="Times New Roman"/>
          <w:lang w:val="uk-UA"/>
        </w:rPr>
        <w:t>онною адміністрацією Одеської міської ради надані пропозиції (копія листа додається) щодо визначення бюджетних призначень загального фонду за КПКВКМБ 4116017 «Інша діяльність, пов’язана з експлуатацією об’єктів житлово-комунального господарства» (видатки р</w:t>
      </w:r>
      <w:r>
        <w:rPr>
          <w:rFonts w:ascii="Times New Roman" w:hAnsi="Times New Roman" w:cs="Times New Roman"/>
          <w:lang w:val="uk-UA"/>
        </w:rPr>
        <w:t>озвитку) на реалізацію заходу 4.8 «Придбання предметів, матеріалів, обладнання, інвентарю та спецтехніки для проведення першочергових, протиаварійних,  консерваційних та стабілізаційних робіт на об'єктах житлового фонду, що пошкоджені внаслідок збройної аг</w:t>
      </w:r>
      <w:r>
        <w:rPr>
          <w:rFonts w:ascii="Times New Roman" w:hAnsi="Times New Roman" w:cs="Times New Roman"/>
          <w:lang w:val="uk-UA"/>
        </w:rPr>
        <w:t>ресії на території міста, з можливістю використання залишкових матеріалів для усунення аварійних ситуацій у житлових будинках, а також на постійній основі спецтехніки за її цільовим призначенням»  Міської цільової програми «Незламна Одеса» на 2024-2028 рок</w:t>
      </w:r>
      <w:r>
        <w:rPr>
          <w:rFonts w:ascii="Times New Roman" w:hAnsi="Times New Roman" w:cs="Times New Roman"/>
          <w:lang w:val="uk-UA"/>
        </w:rPr>
        <w:t>и у сумі                         2 700 000 грн, у тому числі для:</w:t>
      </w:r>
    </w:p>
    <w:p w:rsidR="0099235C" w:rsidRDefault="007F320B">
      <w:pPr>
        <w:tabs>
          <w:tab w:val="left" w:pos="1134"/>
        </w:tabs>
        <w:ind w:firstLineChars="175" w:firstLine="4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КП «ЖКС «Хмельницький» - 700 000 грн;</w:t>
      </w:r>
    </w:p>
    <w:p w:rsidR="0099235C" w:rsidRDefault="007F320B">
      <w:pPr>
        <w:ind w:firstLineChars="175" w:firstLine="42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КП «ЖКС «Черьомушки» - 2 000 000 грн.</w:t>
      </w:r>
    </w:p>
    <w:p w:rsidR="0099235C" w:rsidRDefault="007F320B">
      <w:pPr>
        <w:pStyle w:val="a5"/>
        <w:tabs>
          <w:tab w:val="left" w:pos="426"/>
          <w:tab w:val="left" w:pos="1560"/>
        </w:tabs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Департаментом транспорту, зв’язку та організації дорожнього руху Одеської міської ради надані пропозиції (к</w:t>
      </w:r>
      <w:r>
        <w:rPr>
          <w:rFonts w:ascii="Times New Roman" w:hAnsi="Times New Roman" w:cs="Times New Roman"/>
          <w:sz w:val="24"/>
          <w:szCs w:val="24"/>
          <w:lang w:val="uk-UA"/>
        </w:rPr>
        <w:t>опія листа додається) щодо зменшення бюджетних призначень загального фонду за КПКВКМБ 1910160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sz w:val="24"/>
          <w:szCs w:val="24"/>
          <w:lang w:val="uk-UA"/>
        </w:rPr>
        <w:t>» (видатки споживання) на суму 240 720 грн для оплати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послуг з охорони приміщення у зв’язку із зміною періоду надання послуг.</w:t>
      </w:r>
    </w:p>
    <w:p w:rsidR="0099235C" w:rsidRDefault="007F320B">
      <w:pPr>
        <w:pStyle w:val="a5"/>
        <w:tabs>
          <w:tab w:val="left" w:pos="426"/>
          <w:tab w:val="left" w:pos="1560"/>
        </w:tabs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Департаментом освіти та науки Одеської міської ради надано листа (копія додається) щодо відкликання листа від 30.12.2025 № 01-14/6833, яким було запропоновано збільшення бюджетних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призначень загального фонду за КПКВМБ 0610160 «Керівництво і управління у відповідній сфері у містах (місті Києві), селищах, селах, територіальних громадах» (видатки споживання) на суму 1 500 000 грн для оплати послуг з охорони приміщення адміністративної </w:t>
      </w:r>
      <w:r>
        <w:rPr>
          <w:rFonts w:ascii="Times New Roman" w:hAnsi="Times New Roman" w:cs="Times New Roman"/>
          <w:sz w:val="24"/>
          <w:szCs w:val="24"/>
          <w:lang w:val="uk-UA"/>
        </w:rPr>
        <w:t>будівлі.</w:t>
      </w:r>
    </w:p>
    <w:p w:rsidR="0099235C" w:rsidRDefault="007F320B">
      <w:pPr>
        <w:pStyle w:val="a5"/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зазначене у пунктах 4, 5 цього листа пропонується зменшення бюджетних призначень на загальну суму 1 740 720 грн, визначених проєктом рішення «Про внесення на розгляд Одеській міській військовій адміністрації Одеського району Одеської об</w:t>
      </w:r>
      <w:r>
        <w:rPr>
          <w:rFonts w:ascii="Times New Roman" w:hAnsi="Times New Roman" w:cs="Times New Roman"/>
          <w:sz w:val="24"/>
          <w:szCs w:val="24"/>
          <w:lang w:val="uk-UA"/>
        </w:rPr>
        <w:t>ласті пропозицій «Про внесення змін до бюджету Одеської міської територіальної громади на 2026 рік», який внесений на розгляд чергової сесії Одеської міської ради, яка запланована на 11 лютого 2026 року.</w:t>
      </w:r>
    </w:p>
    <w:p w:rsidR="0099235C" w:rsidRDefault="007F320B">
      <w:pPr>
        <w:pStyle w:val="a5"/>
        <w:shd w:val="clear" w:color="auto" w:fill="FFFFFF" w:themeFill="background1"/>
        <w:tabs>
          <w:tab w:val="left" w:pos="426"/>
        </w:tabs>
        <w:ind w:left="0" w:firstLineChars="175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пункти 2 – 5 цього листа, зменшення бюдже</w:t>
      </w:r>
      <w:r>
        <w:rPr>
          <w:rFonts w:ascii="Times New Roman" w:hAnsi="Times New Roman" w:cs="Times New Roman"/>
          <w:sz w:val="24"/>
          <w:szCs w:val="24"/>
          <w:lang w:val="uk-UA"/>
        </w:rPr>
        <w:t>тних призначень за КПКВКМБ 3718710 «Резервний фонд місцевого бюджету» (нерозподілені видатки) складає 959 280 грн.</w:t>
      </w:r>
    </w:p>
    <w:p w:rsidR="0099235C" w:rsidRDefault="007F320B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99235C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зміни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до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>ом Департаменту фінансів Оде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04-25/30/244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35C" w:rsidRDefault="0099235C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Default="0099235C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Pr="003021B9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</w:t>
      </w:r>
      <w:r w:rsidRPr="003021B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змін до бюджету 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Одеської 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04-25/31/255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3021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35C" w:rsidRDefault="007F320B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зміни до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9235C" w:rsidRDefault="007F320B">
      <w:pPr>
        <w:spacing w:line="228" w:lineRule="auto"/>
        <w:ind w:right="-113" w:firstLineChars="200" w:firstLine="48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Відповідно до листа Департаменту фінансів Одеської обласної державної (військової) адміністрації від 22.01.2026 № 146/03/02.03-25/2-26 (копія додається) ро</w:t>
      </w:r>
      <w:r>
        <w:rPr>
          <w:rFonts w:ascii="Times New Roman" w:hAnsi="Times New Roman" w:cs="Times New Roman"/>
          <w:lang w:val="uk-UA"/>
        </w:rPr>
        <w:t>зпорядженням начальника Одеської обласної державної (військової) адміністрації від 22.01.2026 № 48/А-2026 бюджету Одеської міської територіальної громади на 2026 рік збільшено обсяг субвенції з місцевого бюджету на забезпечення діяльності фахівців із супро</w:t>
      </w:r>
      <w:r>
        <w:rPr>
          <w:rFonts w:ascii="Times New Roman" w:hAnsi="Times New Roman" w:cs="Times New Roman"/>
          <w:lang w:val="uk-UA"/>
        </w:rPr>
        <w:t>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на суму 1 296 000 грн.</w:t>
      </w:r>
    </w:p>
    <w:p w:rsidR="0099235C" w:rsidRDefault="007F320B">
      <w:pPr>
        <w:pStyle w:val="a6"/>
        <w:tabs>
          <w:tab w:val="left" w:pos="851"/>
        </w:tabs>
        <w:spacing w:line="228" w:lineRule="auto"/>
        <w:ind w:right="-113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зв’язку із вищезазнач</w:t>
      </w:r>
      <w:r>
        <w:rPr>
          <w:rFonts w:ascii="Times New Roman" w:hAnsi="Times New Roman" w:cs="Times New Roman"/>
          <w:sz w:val="24"/>
          <w:szCs w:val="24"/>
        </w:rPr>
        <w:t>еним, пропонується внести наступні зміни до загального фонду бюджету Одеської міської територіальної громади на 2026 рік:</w:t>
      </w:r>
    </w:p>
    <w:p w:rsidR="0099235C" w:rsidRDefault="007F320B">
      <w:pPr>
        <w:pStyle w:val="a6"/>
        <w:tabs>
          <w:tab w:val="left" w:pos="851"/>
        </w:tabs>
        <w:spacing w:line="228" w:lineRule="auto"/>
        <w:ind w:right="-113"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збільшити доходи за ККДБ  41059300 «Субвенція з місцевого бюджету на забезпечення діяльності фахівців із супроводу ветеранів війни 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на суму 1 296 000 грн;</w:t>
      </w:r>
    </w:p>
    <w:p w:rsidR="0099235C" w:rsidRDefault="007F320B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right="-113" w:firstLineChars="200" w:firstLine="4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збільшити бюджетні призначення, враховуючи </w:t>
      </w:r>
      <w:r>
        <w:rPr>
          <w:rFonts w:ascii="Times New Roman" w:hAnsi="Times New Roman" w:cs="Times New Roman"/>
          <w:sz w:val="24"/>
          <w:szCs w:val="24"/>
          <w:lang w:val="uk-UA"/>
        </w:rPr>
        <w:t>лист Департаменту у справах ветеранів Одеської міської ради (копія додається), за КПКВКМБ 5113193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</w:t>
      </w:r>
      <w:r>
        <w:rPr>
          <w:rFonts w:ascii="Times New Roman" w:hAnsi="Times New Roman" w:cs="Times New Roman"/>
          <w:sz w:val="24"/>
          <w:szCs w:val="24"/>
          <w:lang w:val="uk-UA"/>
        </w:rPr>
        <w:t>ет та територіальну цілісність України» на суму 1 296 000 грн, у тому числі: оплата праці – 1 063 200 грн та нарахування на оплату праці – 232 800 грн.</w:t>
      </w:r>
    </w:p>
    <w:p w:rsidR="0099235C" w:rsidRDefault="007F320B">
      <w:pPr>
        <w:pStyle w:val="a5"/>
        <w:shd w:val="clear" w:color="auto" w:fill="FFFFFF"/>
        <w:ind w:left="0" w:right="-113" w:firstLineChars="200" w:firstLine="480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B1D1F"/>
          <w:sz w:val="24"/>
          <w:szCs w:val="24"/>
          <w:lang w:val="uk-UA"/>
        </w:rPr>
        <w:t xml:space="preserve">2. Департаментом праці та соціальної політики Одеської міської ради надані 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(копія листа додає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ться) щодо наступного перерозподілу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коштів </w:t>
      </w:r>
      <w:r>
        <w:rPr>
          <w:rFonts w:ascii="Times New Roman" w:hAnsi="Times New Roman" w:cs="Times New Roman"/>
          <w:color w:val="1B1D1F"/>
          <w:sz w:val="24"/>
          <w:szCs w:val="24"/>
          <w:lang w:val="uk-UA"/>
        </w:rPr>
        <w:t xml:space="preserve">субвенції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існість України, за рахунок відповідної субвенції з державного бюджету за КТПКВКМБ 3193                                                                                                    «Забезпечення діяльності фахівців із супроводу ветеранів війни та дем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обілізованих осіб та окремі заходи з підтримки осіб, які захищали незалежність, суверенітет та територіальну цілісність України»:</w:t>
      </w:r>
    </w:p>
    <w:p w:rsidR="0099235C" w:rsidRDefault="007F320B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right="-113" w:firstLineChars="200" w:firstLine="4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B1D1F"/>
          <w:sz w:val="24"/>
          <w:szCs w:val="24"/>
          <w:lang w:val="uk-UA"/>
        </w:rPr>
        <w:t>зменшити бюджетні призначення загального фонду, визначені Департаменту праці та соціальної політики Одеської міської ради, у с</w:t>
      </w:r>
      <w:r>
        <w:rPr>
          <w:rFonts w:ascii="Times New Roman" w:hAnsi="Times New Roman" w:cs="Times New Roman"/>
          <w:color w:val="1B1D1F"/>
          <w:sz w:val="24"/>
          <w:szCs w:val="24"/>
          <w:lang w:val="uk-UA"/>
        </w:rPr>
        <w:t xml:space="preserve">умі 400 320 грн, </w:t>
      </w:r>
      <w:r>
        <w:rPr>
          <w:rFonts w:ascii="Times New Roman" w:hAnsi="Times New Roman" w:cs="Times New Roman"/>
          <w:sz w:val="24"/>
          <w:szCs w:val="24"/>
          <w:lang w:val="uk-UA"/>
        </w:rPr>
        <w:t>у тому числі: оплата праці – 328 200 грн та нарахування на оплату праці – 72 120 грн;</w:t>
      </w:r>
    </w:p>
    <w:p w:rsidR="0099235C" w:rsidRDefault="007F320B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right="-113" w:firstLineChars="200" w:firstLine="4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збільшити</w:t>
      </w:r>
      <w:r>
        <w:rPr>
          <w:rFonts w:ascii="Times New Roman" w:hAnsi="Times New Roman" w:cs="Times New Roman"/>
          <w:bCs/>
          <w:color w:val="1B1D1F"/>
          <w:sz w:val="24"/>
          <w:szCs w:val="24"/>
          <w:lang w:val="uk-UA"/>
        </w:rPr>
        <w:t xml:space="preserve"> бюджетні</w:t>
      </w:r>
      <w:r>
        <w:rPr>
          <w:rFonts w:ascii="Times New Roman" w:hAnsi="Times New Roman" w:cs="Times New Roman"/>
          <w:color w:val="1B1D1F"/>
          <w:sz w:val="24"/>
          <w:szCs w:val="24"/>
          <w:lang w:val="uk-UA"/>
        </w:rPr>
        <w:t xml:space="preserve"> призначення загального фонду Департаменту у справах ветеранів Одеської міської ради у сумі 400 320 грн, </w:t>
      </w:r>
      <w:r>
        <w:rPr>
          <w:rFonts w:ascii="Times New Roman" w:hAnsi="Times New Roman" w:cs="Times New Roman"/>
          <w:sz w:val="24"/>
          <w:szCs w:val="24"/>
          <w:lang w:val="uk-UA"/>
        </w:rPr>
        <w:t>у тому числі: оплата праці – 3</w:t>
      </w:r>
      <w:r>
        <w:rPr>
          <w:rFonts w:ascii="Times New Roman" w:hAnsi="Times New Roman" w:cs="Times New Roman"/>
          <w:sz w:val="24"/>
          <w:szCs w:val="24"/>
          <w:lang w:val="uk-UA"/>
        </w:rPr>
        <w:t>28 200 грн та нарахування на оплату праці – 72 120 грн.</w:t>
      </w:r>
    </w:p>
    <w:p w:rsidR="0099235C" w:rsidRDefault="007F320B">
      <w:pPr>
        <w:shd w:val="clear" w:color="auto" w:fill="FFFFFF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99235C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ВИСНОВОК: Погодити зміни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до бюджету </w:t>
      </w:r>
      <w:r>
        <w:rPr>
          <w:rFonts w:ascii="Times New Roman" w:hAnsi="Times New Roman" w:cs="Times New Roman"/>
          <w:sz w:val="28"/>
          <w:szCs w:val="28"/>
        </w:rPr>
        <w:t>Одеської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Департаменту фінансів Одеської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04-25/31/255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35C" w:rsidRDefault="0099235C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99235C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Інформацію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аступника директора Департаменту муніципальної безпеки Одеської міської ради Володимира Харіщака щодо виділення додаткового фінансування на виконання заходу 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програми цивільного захисту населення і територій від надзвич</w:t>
      </w:r>
      <w:r w:rsidRPr="003021B9">
        <w:rPr>
          <w:rFonts w:ascii="Times New Roman" w:hAnsi="Times New Roman" w:cs="Times New Roman"/>
          <w:sz w:val="28"/>
          <w:szCs w:val="28"/>
          <w:lang w:val="uk-UA"/>
        </w:rPr>
        <w:t xml:space="preserve">айних ситуацій техногенного і природного характеру, забезпечення пожежної безпеки на території м. Одеси  на 2022 – 2028 роки </w:t>
      </w:r>
      <w:r>
        <w:rPr>
          <w:rFonts w:ascii="Times New Roman" w:hAnsi="Times New Roman" w:cs="Times New Roman"/>
          <w:sz w:val="28"/>
          <w:szCs w:val="28"/>
          <w:lang w:val="uk-UA"/>
        </w:rPr>
        <w:t>(лист № 01-1-11/59 від 02.02.2026 року).</w:t>
      </w:r>
    </w:p>
    <w:p w:rsidR="0099235C" w:rsidRDefault="007F320B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</w:t>
      </w:r>
    </w:p>
    <w:p w:rsidR="0099235C" w:rsidRDefault="007F320B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більшенням бюджетних призначень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 муніципальної безпеки Одеської міської ради у сумі 494 200 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</w:t>
      </w:r>
      <w:r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99235C" w:rsidRDefault="007F320B">
      <w:pPr>
        <w:ind w:firstLine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 - одноголосно.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9235C" w:rsidRDefault="007F320B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ВИСНОВОК: Погодити виділення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муніципальної безпеки Одеської міської ради кошів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розмірі 494 200  грн. (загаль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фонд)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листом  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№ 01-1-11/59 від 02.02.2026 року.</w:t>
      </w:r>
    </w:p>
    <w:p w:rsidR="0099235C" w:rsidRDefault="0099235C">
      <w:pPr>
        <w:ind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99235C">
      <w:pPr>
        <w:ind w:rightChars="99" w:right="238"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Default="007F320B">
      <w:pPr>
        <w:ind w:rightChars="99" w:right="238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зверненням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Департаменту муніципальної безпеки 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поправок до проєкту рішення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«Безпечне місто Одеса» на 2020-2028 роки», затвердженої  рішенням Одеської міської ради  від 18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березня 2020 року № 5797-VІI»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№ 01.1-17/112 від 04.02.2026 року). </w:t>
      </w:r>
    </w:p>
    <w:p w:rsidR="0099235C" w:rsidRDefault="007F320B">
      <w:pPr>
        <w:ind w:rightChars="99" w:right="238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</w:t>
      </w:r>
    </w:p>
    <w:p w:rsidR="0099235C" w:rsidRDefault="007F320B">
      <w:pPr>
        <w:ind w:rightChars="99" w:right="238" w:firstLineChars="171" w:firstLine="479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поправки до проєкту рішення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«Про внесення на розгляд Одеській міській військовій адміністрації Одеського району Одеської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області пропозицій «Про внесення змін до Міської цільової програми «Безпечне місто Одеса» на 2020-2028 роки», затвердженої рішенням Одеської міської ради  від 18 березня 2020 року № 5797-VІI»:</w:t>
      </w:r>
    </w:p>
    <w:p w:rsidR="0099235C" w:rsidRDefault="007F320B">
      <w:pPr>
        <w:ind w:rightChars="99" w:right="238" w:firstLineChars="171" w:firstLine="481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ar-SA"/>
        </w:rPr>
        <w:t>За - одноголосно.</w:t>
      </w:r>
    </w:p>
    <w:p w:rsidR="0099235C" w:rsidRDefault="007F320B">
      <w:pPr>
        <w:ind w:rightChars="99" w:right="238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ВИСНОВОК: Внести поправку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рішення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 xml:space="preserve"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«Безпечне місто Одеса» на 2020-2028 роки», затвердженої  рішенням Одеської міської ради  від 18 </w:t>
      </w:r>
      <w:r>
        <w:rPr>
          <w:rFonts w:ascii="Times New Roman" w:eastAsia="SimSun" w:hAnsi="Times New Roman" w:cs="Times New Roman"/>
          <w:bCs/>
          <w:sz w:val="28"/>
          <w:szCs w:val="28"/>
          <w:lang w:val="uk-UA" w:eastAsia="ar-SA"/>
        </w:rPr>
        <w:t>березня 2020 року № 5797-VІI» (поправка додається).</w:t>
      </w:r>
    </w:p>
    <w:p w:rsidR="0099235C" w:rsidRPr="003021B9" w:rsidRDefault="0099235C">
      <w:pPr>
        <w:ind w:firstLineChars="171" w:firstLine="479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pStyle w:val="a5"/>
        <w:ind w:left="0"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виділення бюджетних призначень Департаменту муніципальної 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Одеської міської ради на </w:t>
      </w:r>
      <w:r w:rsidRPr="003021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реалізацію 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«Безпечне місто Одеса» на 2020 – 2028 роки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рахунок переспрямування коштів Депутатського фонду Одеської міської ради  у </w:t>
      </w:r>
      <w:r>
        <w:rPr>
          <w:rFonts w:ascii="Times New Roman" w:hAnsi="Times New Roman" w:cs="Times New Roman"/>
          <w:sz w:val="28"/>
          <w:szCs w:val="28"/>
          <w:lang w:val="uk-UA"/>
        </w:rPr>
        <w:t>сумі 5 000 000 грн:</w:t>
      </w:r>
    </w:p>
    <w:p w:rsidR="0099235C" w:rsidRDefault="007F3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– одноголосно.</w:t>
      </w:r>
    </w:p>
    <w:p w:rsidR="0099235C" w:rsidRDefault="007F3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ВИСНОВОК: Погодити виділення додаткових бюджетних призначень Департаменту муніципальної безпеки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сумі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5 000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тис.гривень 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виконання Міської цільової програми «Безпечне місто Одеса» на 2020-2025 роки:</w:t>
      </w:r>
    </w:p>
    <w:p w:rsidR="0099235C" w:rsidRDefault="00992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9235C" w:rsidRDefault="00992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99235C" w:rsidRDefault="007F320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Виступив депутат Ієремія В.В. с пропозицією щодо звернення до першого заступника міського голови Олександра Філатова про розробку Програми відшкодування ОСББ збитків на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озробку проєктно-кошторисної документації із відновлення спільного майна багатоквартир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них будинків ОСББ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пошкоджених внаслідок збройної агресії Російської Федерації проти України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для участі у програмі 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Фонду енергоефективності України “ВідновиДім”.</w:t>
      </w:r>
    </w:p>
    <w:p w:rsidR="0099235C" w:rsidRDefault="007F320B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рекомендацію комісії:</w:t>
      </w:r>
    </w:p>
    <w:p w:rsidR="0099235C" w:rsidRDefault="007F320B">
      <w:pPr>
        <w:ind w:firstLineChars="171" w:firstLine="4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 - одноголосно. </w:t>
      </w:r>
    </w:p>
    <w:p w:rsidR="0099235C" w:rsidRDefault="007F320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Звернутися на адресу першого заступника міського голови Олександра Філатова щодо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розгляду питання розробки та затвердження Програми фінансової підтримки ОСББ для компенсації з бюджету Одеської міської територіальної громади витрат на р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озробку про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єктно-кошторисної документації із відновлення спільного майна багатоквартирних будинків ОСББ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</w:t>
      </w:r>
      <w:r w:rsidRPr="003021B9">
        <w:rPr>
          <w:rStyle w:val="a3"/>
          <w:rFonts w:ascii="Times New Roman" w:eastAsia="Arial" w:hAnsi="Times New Roman" w:cs="Times New Roman"/>
          <w:b w:val="0"/>
          <w:bCs w:val="0"/>
          <w:color w:val="2B2A2A"/>
          <w:sz w:val="28"/>
          <w:szCs w:val="28"/>
          <w:shd w:val="clear" w:color="auto" w:fill="FFFFFF"/>
          <w:lang w:val="uk-UA"/>
        </w:rPr>
        <w:t>віт з технічного обстеження будівлі та акт технічного обстеження</w:t>
      </w:r>
      <w:r>
        <w:rPr>
          <w:rStyle w:val="a3"/>
          <w:rFonts w:ascii="Times New Roman" w:eastAsia="Arial" w:hAnsi="Times New Roman" w:cs="Times New Roman"/>
          <w:b w:val="0"/>
          <w:bCs w:val="0"/>
          <w:color w:val="2B2A2A"/>
          <w:sz w:val="28"/>
          <w:szCs w:val="28"/>
          <w:shd w:val="clear" w:color="auto" w:fill="FFFFFF"/>
          <w:lang w:val="uk-UA"/>
        </w:rPr>
        <w:t>)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пошкоджених внаслідок збройної агресії Російської Федерації проти України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для участі у програмі </w:t>
      </w:r>
      <w:r w:rsidRPr="003021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Фонду енергоефективності України “ВідновиДім”.</w:t>
      </w:r>
    </w:p>
    <w:p w:rsidR="0099235C" w:rsidRDefault="0099235C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Default="0099235C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Default="007F320B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поправок до проєкту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</w:t>
      </w:r>
      <w:r>
        <w:rPr>
          <w:rFonts w:ascii="Times New Roman" w:hAnsi="Times New Roman" w:cs="Times New Roman"/>
          <w:sz w:val="28"/>
          <w:szCs w:val="28"/>
          <w:lang w:val="uk-UA"/>
        </w:rPr>
        <w:t>н до бюджету Одеської міської територіальної громади на 2026 рік»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9235C" w:rsidRDefault="007F320B">
      <w:pPr>
        <w:shd w:val="clear" w:color="auto" w:fill="FFFFFF"/>
        <w:ind w:left="8" w:firstLineChars="168" w:firstLine="4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поправки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«Про внесення змін до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Одеської міської територіальної громади на 2026 рік»:</w:t>
      </w:r>
    </w:p>
    <w:p w:rsidR="0099235C" w:rsidRDefault="007F320B">
      <w:pPr>
        <w:ind w:firstLineChars="171" w:firstLine="48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– одноголосно.</w:t>
      </w:r>
    </w:p>
    <w:p w:rsidR="0099235C" w:rsidRDefault="007F320B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ВИСНОВОК: Внести поправку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№ 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проєкту рішення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«Про внесення змін до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 на 2026 рік» (поправка додається)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9235C" w:rsidRDefault="0099235C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9235C" w:rsidRPr="003021B9" w:rsidRDefault="0099235C">
      <w:pPr>
        <w:ind w:leftChars="-100" w:left="-240" w:firstLineChars="85" w:firstLine="2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99235C" w:rsidRDefault="0099235C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99235C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235C" w:rsidRDefault="007F320B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1" w:name="_GoBack"/>
      <w:bookmarkEnd w:id="1"/>
    </w:p>
    <w:sectPr w:rsidR="0099235C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0B" w:rsidRDefault="007F320B">
      <w:r>
        <w:separator/>
      </w:r>
    </w:p>
  </w:endnote>
  <w:endnote w:type="continuationSeparator" w:id="0">
    <w:p w:rsidR="007F320B" w:rsidRDefault="007F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0B" w:rsidRDefault="007F320B">
      <w:r>
        <w:separator/>
      </w:r>
    </w:p>
  </w:footnote>
  <w:footnote w:type="continuationSeparator" w:id="0">
    <w:p w:rsidR="007F320B" w:rsidRDefault="007F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5578B"/>
    <w:multiLevelType w:val="multilevel"/>
    <w:tmpl w:val="5E35578B"/>
    <w:lvl w:ilvl="0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E7C65"/>
    <w:rsid w:val="003021B9"/>
    <w:rsid w:val="007F320B"/>
    <w:rsid w:val="0099235C"/>
    <w:rsid w:val="529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A94B8C-1F11-42A0-ADB0-AF95426D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table" w:customStyle="1" w:styleId="1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autoSpaceDN/>
      <w:ind w:left="720"/>
      <w:contextualSpacing/>
    </w:pPr>
    <w:rPr>
      <w:sz w:val="20"/>
      <w:szCs w:val="20"/>
      <w:lang w:eastAsia="uk-UA"/>
    </w:rPr>
  </w:style>
  <w:style w:type="paragraph" w:styleId="a6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11087</Words>
  <Characters>6320</Characters>
  <Application>Microsoft Office Word</Application>
  <DocSecurity>0</DocSecurity>
  <Lines>52</Lines>
  <Paragraphs>34</Paragraphs>
  <ScaleCrop>false</ScaleCrop>
  <Company>SPecialiST RePack</Company>
  <LinksUpToDate>false</LinksUpToDate>
  <CharactersWithSpaces>17373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dcterms:created xsi:type="dcterms:W3CDTF">2026-02-26T13:57:00Z</dcterms:created>
  <dcterms:modified xsi:type="dcterms:W3CDTF">2026-02-26T15:00:00Z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B866D9B55039443DAD2E4F70AF747443_11</vt:lpwstr>
  </property>
</Properties>
</file>