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86" w:rsidRDefault="00BF6A55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8F2B86" w:rsidRDefault="008F2B86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2B86" w:rsidRDefault="008F2B86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2B86" w:rsidRDefault="00BF6A55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:rsidR="008F2B86" w:rsidRDefault="00BF6A5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:rsidR="008F2B86" w:rsidRDefault="00BF6A5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8F2B86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8F2B86" w:rsidRDefault="008F2B86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:rsidR="008F2B86" w:rsidRDefault="00BF6A55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:rsidR="008F2B86" w:rsidRDefault="00BF6A55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:rsidR="008F2B86" w:rsidRDefault="00BF6A55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:rsidR="008F2B86" w:rsidRDefault="00BF6A55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┐</w:t>
      </w:r>
    </w:p>
    <w:p w:rsidR="008F2B86" w:rsidRDefault="008F2B8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2B86" w:rsidRDefault="00BF6A5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8F2B86" w:rsidRDefault="00BF6A5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:rsidR="008F2B86" w:rsidRDefault="008F2B8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2B86" w:rsidRDefault="00BF6A5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A1499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рік             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0                каб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307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F2B86" w:rsidRDefault="008F2B8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F2B86" w:rsidRDefault="00BF6A5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:rsidR="008F2B86" w:rsidRDefault="00BF6A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:rsidR="008F2B86" w:rsidRDefault="00BF6A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:rsidR="008F2B86" w:rsidRDefault="00BF6A5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:rsidR="008F2B86" w:rsidRDefault="008F2B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8F2B86" w:rsidRDefault="00BF6A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:rsidR="008F2B86" w:rsidRDefault="008F2B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953"/>
        <w:gridCol w:w="37"/>
      </w:tblGrid>
      <w:tr w:rsidR="008F2B86">
        <w:trPr>
          <w:gridAfter w:val="1"/>
          <w:wAfter w:w="37" w:type="dxa"/>
          <w:trHeight w:val="131"/>
        </w:trPr>
        <w:tc>
          <w:tcPr>
            <w:tcW w:w="3617" w:type="dxa"/>
          </w:tcPr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Ахмеров</w:t>
            </w:r>
          </w:p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5953" w:type="dxa"/>
          </w:tcPr>
          <w:p w:rsidR="008F2B86" w:rsidRDefault="008F2B8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2B86" w:rsidRDefault="00BF6A5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директор Департаменту комунальної власності Одеської міської ради.</w:t>
            </w:r>
          </w:p>
        </w:tc>
      </w:tr>
      <w:tr w:rsidR="008F2B86">
        <w:trPr>
          <w:gridAfter w:val="1"/>
          <w:wAfter w:w="37" w:type="dxa"/>
          <w:trHeight w:val="131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86" w:rsidRDefault="00BF6A5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Філіпов</w:t>
            </w:r>
          </w:p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Юрій Володимирович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86" w:rsidRDefault="008F2B86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8F2B86" w:rsidRDefault="00BF6A5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- заступник директора Департаменту – начальник управління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 xml:space="preserve"> приватизації та оцінки комунального майна Департаменту комунальної власності Одеської міської ради;</w:t>
            </w:r>
          </w:p>
        </w:tc>
      </w:tr>
      <w:tr w:rsidR="008F2B86">
        <w:trPr>
          <w:gridAfter w:val="1"/>
          <w:wAfter w:w="37" w:type="dxa"/>
          <w:trHeight w:val="131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Етнарович</w:t>
            </w:r>
          </w:p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Володимирович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86" w:rsidRDefault="008F2B8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2B86" w:rsidRDefault="00BF6A5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депутат Одеської міської ради; </w:t>
            </w:r>
          </w:p>
        </w:tc>
      </w:tr>
      <w:tr w:rsidR="008F2B86">
        <w:trPr>
          <w:gridAfter w:val="1"/>
          <w:wAfter w:w="37" w:type="dxa"/>
          <w:trHeight w:val="131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Мікуленко</w:t>
            </w:r>
          </w:p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Валерій Валерійович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86" w:rsidRDefault="008F2B8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2B86" w:rsidRDefault="00BF6A5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начальник юридичного управління  Департаменту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комунальної власності Одеської міської ради;</w:t>
            </w:r>
          </w:p>
          <w:p w:rsidR="008F2B86" w:rsidRDefault="008F2B8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2B86">
        <w:trPr>
          <w:gridAfter w:val="1"/>
          <w:wAfter w:w="37" w:type="dxa"/>
          <w:trHeight w:val="131"/>
        </w:trPr>
        <w:tc>
          <w:tcPr>
            <w:tcW w:w="3617" w:type="dxa"/>
          </w:tcPr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Стоянов</w:t>
            </w:r>
          </w:p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Федір Федорович </w:t>
            </w:r>
          </w:p>
        </w:tc>
        <w:tc>
          <w:tcPr>
            <w:tcW w:w="5953" w:type="dxa"/>
          </w:tcPr>
          <w:p w:rsidR="008F2B86" w:rsidRDefault="008F2B8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2B86" w:rsidRDefault="00BF6A55">
            <w:pPr>
              <w:spacing w:after="0"/>
              <w:ind w:rightChars="152" w:right="334" w:firstLine="2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в.о. д</w:t>
            </w:r>
            <w:r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Департаменту міжнародного співробітництва, культури та маркетингу Одеської міської ради; </w:t>
            </w:r>
          </w:p>
        </w:tc>
      </w:tr>
      <w:tr w:rsidR="008F2B86">
        <w:trPr>
          <w:gridAfter w:val="1"/>
          <w:wAfter w:w="37" w:type="dxa"/>
          <w:trHeight w:val="131"/>
        </w:trPr>
        <w:tc>
          <w:tcPr>
            <w:tcW w:w="3617" w:type="dxa"/>
          </w:tcPr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Крижалко</w:t>
            </w:r>
          </w:p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Людмила Михайлівна </w:t>
            </w:r>
          </w:p>
        </w:tc>
        <w:tc>
          <w:tcPr>
            <w:tcW w:w="5953" w:type="dxa"/>
          </w:tcPr>
          <w:p w:rsidR="008F2B86" w:rsidRDefault="008F2B8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2B86" w:rsidRDefault="00BF6A55">
            <w:pPr>
              <w:spacing w:after="0"/>
              <w:ind w:rightChars="152" w:right="334" w:firstLine="2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заступник д</w:t>
            </w:r>
            <w:r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Департаменту міжнародного співробітництва, культури та маркетингу - начальник управління культури Одеської міської ради; </w:t>
            </w:r>
          </w:p>
        </w:tc>
      </w:tr>
      <w:tr w:rsidR="008F2B86">
        <w:trPr>
          <w:gridAfter w:val="1"/>
          <w:wAfter w:w="37" w:type="dxa"/>
          <w:trHeight w:val="131"/>
        </w:trPr>
        <w:tc>
          <w:tcPr>
            <w:tcW w:w="3617" w:type="dxa"/>
          </w:tcPr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Розов</w:t>
            </w:r>
          </w:p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Андрій Ігорович </w:t>
            </w:r>
          </w:p>
        </w:tc>
        <w:tc>
          <w:tcPr>
            <w:tcW w:w="5953" w:type="dxa"/>
          </w:tcPr>
          <w:p w:rsidR="008F2B86" w:rsidRDefault="008F2B8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2B86" w:rsidRDefault="00BF6A5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директор Департаменту економічного розвитку Одеської міської ради;</w:t>
            </w:r>
          </w:p>
        </w:tc>
      </w:tr>
      <w:tr w:rsidR="008F2B86">
        <w:trPr>
          <w:trHeight w:val="707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86" w:rsidRDefault="00BF6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Корнієнко</w:t>
            </w:r>
          </w:p>
          <w:p w:rsidR="008F2B86" w:rsidRDefault="00BF6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86" w:rsidRDefault="008F2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F2B86" w:rsidRDefault="00BF6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депутат  Одеської міської ради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</w:tc>
      </w:tr>
      <w:tr w:rsidR="008F2B86">
        <w:trPr>
          <w:trHeight w:val="707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86" w:rsidRDefault="00BF6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Узунов</w:t>
            </w:r>
          </w:p>
          <w:p w:rsidR="008F2B86" w:rsidRDefault="00BF6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Сергій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Опанасович </w:t>
            </w:r>
          </w:p>
        </w:tc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86" w:rsidRDefault="008F2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F2B86" w:rsidRDefault="00BF6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</w:tc>
      </w:tr>
      <w:tr w:rsidR="008F2B86">
        <w:trPr>
          <w:gridAfter w:val="1"/>
          <w:wAfter w:w="37" w:type="dxa"/>
          <w:trHeight w:val="131"/>
        </w:trPr>
        <w:tc>
          <w:tcPr>
            <w:tcW w:w="3617" w:type="dxa"/>
          </w:tcPr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Літвіноів</w:t>
            </w:r>
          </w:p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Сергій Іванович </w:t>
            </w:r>
          </w:p>
        </w:tc>
        <w:tc>
          <w:tcPr>
            <w:tcW w:w="5953" w:type="dxa"/>
          </w:tcPr>
          <w:p w:rsidR="008F2B86" w:rsidRDefault="008F2B86">
            <w:pPr>
              <w:spacing w:after="0" w:line="240" w:lineRule="auto"/>
              <w:ind w:leftChars="80" w:left="17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2B86" w:rsidRDefault="00BF6A55">
            <w:pPr>
              <w:spacing w:after="0"/>
              <w:ind w:rightChars="152" w:right="3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директор Комунального закладу  початкової спеціалізованої освіти “Мистецька школа №4”;</w:t>
            </w:r>
          </w:p>
        </w:tc>
      </w:tr>
      <w:tr w:rsidR="008F2B86">
        <w:trPr>
          <w:gridAfter w:val="1"/>
          <w:wAfter w:w="37" w:type="dxa"/>
          <w:trHeight w:val="131"/>
        </w:trPr>
        <w:tc>
          <w:tcPr>
            <w:tcW w:w="3617" w:type="dxa"/>
          </w:tcPr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Міндова Маргарита </w:t>
            </w:r>
          </w:p>
        </w:tc>
        <w:tc>
          <w:tcPr>
            <w:tcW w:w="5953" w:type="dxa"/>
          </w:tcPr>
          <w:p w:rsidR="008F2B86" w:rsidRDefault="00BF6A55">
            <w:pPr>
              <w:spacing w:after="0"/>
              <w:ind w:rightChars="152" w:right="3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член Молодіжної ради; </w:t>
            </w:r>
          </w:p>
          <w:p w:rsidR="008F2B86" w:rsidRDefault="008F2B86">
            <w:pPr>
              <w:spacing w:after="0"/>
              <w:ind w:rightChars="152" w:right="3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2B86">
        <w:trPr>
          <w:gridAfter w:val="1"/>
          <w:wAfter w:w="37" w:type="dxa"/>
          <w:trHeight w:val="131"/>
        </w:trPr>
        <w:tc>
          <w:tcPr>
            <w:tcW w:w="3617" w:type="dxa"/>
          </w:tcPr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Мороз</w:t>
            </w:r>
          </w:p>
          <w:p w:rsidR="008F2B86" w:rsidRDefault="00BF6A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Володимирович </w:t>
            </w:r>
          </w:p>
        </w:tc>
        <w:tc>
          <w:tcPr>
            <w:tcW w:w="5953" w:type="dxa"/>
          </w:tcPr>
          <w:p w:rsidR="008F2B86" w:rsidRDefault="008F2B86">
            <w:pPr>
              <w:spacing w:after="0"/>
              <w:ind w:rightChars="152" w:right="3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2B86" w:rsidRDefault="00BF6A55">
            <w:pPr>
              <w:spacing w:after="0"/>
              <w:ind w:rightChars="152" w:right="3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ans-serif" w:hAnsi="Times New Roman"/>
                <w:color w:val="231F20"/>
                <w:sz w:val="28"/>
                <w:szCs w:val="28"/>
                <w:shd w:val="clear" w:color="auto" w:fill="FFFFFF"/>
                <w:lang w:val="uk-UA"/>
              </w:rPr>
              <w:t xml:space="preserve">- представник </w:t>
            </w:r>
            <w:r>
              <w:rPr>
                <w:rFonts w:ascii="Times New Roman" w:eastAsia="sans-serif" w:hAnsi="Times New Roman"/>
                <w:color w:val="231F20"/>
                <w:sz w:val="28"/>
                <w:szCs w:val="28"/>
                <w:shd w:val="clear" w:color="auto" w:fill="FFFFFF"/>
              </w:rPr>
              <w:t>Карітас  Одеса</w:t>
            </w:r>
            <w:r>
              <w:rPr>
                <w:rFonts w:ascii="Times New Roman" w:eastAsia="sans-serif" w:hAnsi="Times New Roman"/>
                <w:color w:val="231F2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8F2B86" w:rsidRDefault="008F2B86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2B86" w:rsidRDefault="00BF6A55">
      <w:pPr>
        <w:spacing w:after="0" w:line="240" w:lineRule="auto"/>
        <w:ind w:firstLineChars="157" w:firstLine="440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з питань комунальної власності, економічної, інвестиційної, 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державної регуляторної політики та підприємництва 23 лютого 2026 року.</w:t>
      </w: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23 люто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го 2026 року Антонішак Оксану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8F2B86" w:rsidRDefault="00BF6A55">
      <w:pPr>
        <w:spacing w:after="0" w:line="240" w:lineRule="auto"/>
        <w:ind w:firstLineChars="157" w:firstLine="44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– одноголосно. </w:t>
      </w: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Обрати в.о.секретаря на засіданні постійної комісії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23 лютого 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2026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року Антонішак Оксану. </w:t>
      </w:r>
    </w:p>
    <w:p w:rsidR="008F2B86" w:rsidRDefault="008F2B8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F2B86" w:rsidRDefault="008F2B8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F2B86" w:rsidRDefault="008F2B8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F2B86" w:rsidRDefault="00BF6A55">
      <w:pPr>
        <w:spacing w:after="0" w:line="240" w:lineRule="auto"/>
        <w:ind w:firstLineChars="128" w:firstLine="35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СЛУХАЛИ: </w:t>
      </w:r>
      <w:r w:rsidRPr="00A1499E">
        <w:rPr>
          <w:rFonts w:ascii="Times New Roman" w:hAnsi="Times New Roman"/>
          <w:sz w:val="28"/>
          <w:szCs w:val="28"/>
          <w:lang w:val="uk-UA" w:eastAsia="uk-UA"/>
        </w:rPr>
        <w:t xml:space="preserve">Інформацію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заступника директора Департаменту – начальник управління приватизації та оцінки комунального майна Департаменту комунальної власності Одеської міської ради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Юрія Філіпова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щодо доповнень до проєкту рішення “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включення до Переліку другого типу об</w:t>
      </w:r>
      <w:r w:rsidRPr="00A1499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Одеси, що підлягають передачі в оренду без проведення аукціону, затвердженого рішенням  Одеської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A1499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єктів комунальної власності територіальної громади м. Одеси» </w:t>
      </w:r>
      <w:r>
        <w:rPr>
          <w:rFonts w:ascii="Times New Roman" w:hAnsi="Times New Roman"/>
          <w:sz w:val="28"/>
          <w:szCs w:val="28"/>
          <w:lang w:val="uk-UA"/>
        </w:rPr>
        <w:t>(листи Департаменту комунальної власності № 01-13/322 від 18.02.2026 року, № 01-13/331 від 20.02.2026 року та № 01-13/335 від 23.02.2026 року).</w:t>
      </w:r>
    </w:p>
    <w:p w:rsidR="008F2B86" w:rsidRDefault="00BF6A55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 Славський О.В., Сеник Р.В., Антонішак О.</w:t>
      </w:r>
      <w:r>
        <w:rPr>
          <w:rFonts w:ascii="Times New Roman" w:hAnsi="Times New Roman"/>
          <w:sz w:val="28"/>
          <w:szCs w:val="28"/>
          <w:lang w:val="uk-UA"/>
        </w:rPr>
        <w:t>С.</w:t>
      </w:r>
    </w:p>
    <w:p w:rsidR="008F2B86" w:rsidRDefault="00BF6A55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Голосували за включення до </w:t>
      </w:r>
      <w:r>
        <w:rPr>
          <w:rFonts w:ascii="Times New Roman" w:hAnsi="Times New Roman"/>
          <w:sz w:val="28"/>
          <w:szCs w:val="28"/>
          <w:lang w:val="uk-UA"/>
        </w:rPr>
        <w:t>Переліку другого типу об</w:t>
      </w:r>
      <w:r w:rsidRPr="00A1499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Одеси, що підлягають  передачі в оренду без проведення аукціону, затвердженого рішенням  Одеської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</w:t>
      </w:r>
      <w:r>
        <w:rPr>
          <w:rFonts w:ascii="Times New Roman" w:hAnsi="Times New Roman"/>
          <w:sz w:val="28"/>
          <w:szCs w:val="28"/>
          <w:lang w:val="uk-UA"/>
        </w:rPr>
        <w:t>одаткових об</w:t>
      </w:r>
      <w:r w:rsidRPr="00A1499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Одеси:</w:t>
      </w:r>
    </w:p>
    <w:p w:rsidR="008F2B86" w:rsidRDefault="00BF6A55">
      <w:pPr>
        <w:spacing w:after="0" w:line="240" w:lineRule="auto"/>
        <w:ind w:firstLineChars="157" w:firstLine="44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8F2B86" w:rsidRDefault="00BF6A55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Доповнити додаток до проєкту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A1499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Одеси, що підлягають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передачі в оренду без проведення аукціону, затвердженого рішенням Одеської міської ради від 03 лютого 2021 року        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A1499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Одеси»  наступними пунктами:</w:t>
      </w:r>
    </w:p>
    <w:tbl>
      <w:tblPr>
        <w:tblW w:w="921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35"/>
        <w:gridCol w:w="1350"/>
        <w:gridCol w:w="900"/>
        <w:gridCol w:w="2727"/>
      </w:tblGrid>
      <w:tr w:rsidR="008F2B86">
        <w:trPr>
          <w:trHeight w:val="1330"/>
        </w:trPr>
        <w:tc>
          <w:tcPr>
            <w:tcW w:w="2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Нежилі напівпідвальні примі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щення</w:t>
            </w: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8F2B8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Напівпідвал </w:t>
            </w:r>
          </w:p>
        </w:tc>
        <w:tc>
          <w:tcPr>
            <w:tcW w:w="9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156,3</w:t>
            </w:r>
          </w:p>
        </w:tc>
        <w:tc>
          <w:tcPr>
            <w:tcW w:w="2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Розміщення надавачів соціальних послуг, які включені до Реєстру надавачів та отримувачів соціальних послуг, відповідно до Закону України «Про соціальні послуги»</w:t>
            </w:r>
          </w:p>
        </w:tc>
      </w:tr>
      <w:tr w:rsidR="008F2B86">
        <w:trPr>
          <w:trHeight w:val="90"/>
        </w:trPr>
        <w:tc>
          <w:tcPr>
            <w:tcW w:w="2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Нежитлові  приміщення</w:t>
            </w: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8F2B8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підвал  </w:t>
            </w:r>
          </w:p>
        </w:tc>
        <w:tc>
          <w:tcPr>
            <w:tcW w:w="9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296,8</w:t>
            </w:r>
          </w:p>
        </w:tc>
        <w:tc>
          <w:tcPr>
            <w:tcW w:w="2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 державної влади,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інші бюджетні організації,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заклади, установи, які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овністю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фінансуються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державного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бюджету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F2B86">
        <w:trPr>
          <w:trHeight w:val="215"/>
        </w:trPr>
        <w:tc>
          <w:tcPr>
            <w:tcW w:w="2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Нежитлове приміщення</w:t>
            </w: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8F2B8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Підвал</w:t>
            </w:r>
          </w:p>
        </w:tc>
        <w:tc>
          <w:tcPr>
            <w:tcW w:w="9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65,3</w:t>
            </w:r>
          </w:p>
        </w:tc>
        <w:tc>
          <w:tcPr>
            <w:tcW w:w="2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 державної влади,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інші бюджетні організації,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заклади, установи, які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овністю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фінансуються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державного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бюджету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F2B86">
        <w:trPr>
          <w:trHeight w:val="1164"/>
        </w:trPr>
        <w:tc>
          <w:tcPr>
            <w:tcW w:w="2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35/100 частин приміщень підвалу, першого, другого поверхів № 103 від загальної площі 1377,2 кв.м</w:t>
            </w: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8F2B8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Підвал  </w:t>
            </w:r>
          </w:p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Другий</w:t>
            </w:r>
          </w:p>
        </w:tc>
        <w:tc>
          <w:tcPr>
            <w:tcW w:w="9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482,6</w:t>
            </w:r>
          </w:p>
        </w:tc>
        <w:tc>
          <w:tcPr>
            <w:tcW w:w="2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 державної влади,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інші бюджетні організації,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заклади, установи, які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овністю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фінансуються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державного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бюджету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8F2B86" w:rsidRDefault="00BF6A55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поправку до проєкту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A149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єктів комунальної власності територіальної громади м. Одеси, що підлягають передачі в оренду без проведення аукціону,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затвердженого рішенням Одеської міської ради від 03 л</w:t>
      </w:r>
      <w:r>
        <w:rPr>
          <w:rFonts w:ascii="Times New Roman" w:hAnsi="Times New Roman"/>
          <w:sz w:val="28"/>
          <w:szCs w:val="28"/>
          <w:lang w:val="uk-UA"/>
        </w:rPr>
        <w:t>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A149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єктів комунальної власності територіальної громади м. Одеси»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8F2B86" w:rsidRDefault="00BF6A55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8F2B86" w:rsidRDefault="00BF6A55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поправку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№ 3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 проєкту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A1499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громади м. Одеси, що підлягають передачі в оренду без проведення аукціону, затвердженого рішенням Одеської міської ради від  03 лютого 2021 року      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A1499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Одеси»:</w:t>
      </w:r>
    </w:p>
    <w:p w:rsidR="008F2B86" w:rsidRPr="00A1499E" w:rsidRDefault="00BF6A55">
      <w:pPr>
        <w:numPr>
          <w:ilvl w:val="0"/>
          <w:numId w:val="2"/>
        </w:numPr>
        <w:spacing w:after="0"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Доповнити 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до проєкту рішення наступними пунктами:</w:t>
      </w:r>
    </w:p>
    <w:tbl>
      <w:tblPr>
        <w:tblW w:w="921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35"/>
        <w:gridCol w:w="1350"/>
        <w:gridCol w:w="900"/>
        <w:gridCol w:w="2727"/>
      </w:tblGrid>
      <w:tr w:rsidR="008F2B86">
        <w:trPr>
          <w:trHeight w:val="1330"/>
        </w:trPr>
        <w:tc>
          <w:tcPr>
            <w:tcW w:w="2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Нежилі напівпідвальні приміщення</w:t>
            </w: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8F2B8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Напівпідвал </w:t>
            </w:r>
          </w:p>
        </w:tc>
        <w:tc>
          <w:tcPr>
            <w:tcW w:w="9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156,3</w:t>
            </w:r>
          </w:p>
        </w:tc>
        <w:tc>
          <w:tcPr>
            <w:tcW w:w="2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Розміщення надавачів соціальних послуг, які включені до Реєстру надавачів та отримувачів соціальних послуг, відповідно до Закону України «Про соціальні послуги»</w:t>
            </w:r>
          </w:p>
        </w:tc>
      </w:tr>
      <w:tr w:rsidR="008F2B86">
        <w:trPr>
          <w:trHeight w:val="90"/>
        </w:trPr>
        <w:tc>
          <w:tcPr>
            <w:tcW w:w="2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Нежитлові  приміщення</w:t>
            </w: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8F2B8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підвал  </w:t>
            </w:r>
          </w:p>
        </w:tc>
        <w:tc>
          <w:tcPr>
            <w:tcW w:w="9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296,8</w:t>
            </w:r>
          </w:p>
        </w:tc>
        <w:tc>
          <w:tcPr>
            <w:tcW w:w="2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 державної влади,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інші бюджетні організації,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заклади, установи, які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овністю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фінансуються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державного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бюджету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F2B86">
        <w:trPr>
          <w:trHeight w:val="215"/>
        </w:trPr>
        <w:tc>
          <w:tcPr>
            <w:tcW w:w="2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Нежитлове приміщення</w:t>
            </w: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8F2B8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Підвал</w:t>
            </w:r>
          </w:p>
        </w:tc>
        <w:tc>
          <w:tcPr>
            <w:tcW w:w="9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65,3</w:t>
            </w:r>
          </w:p>
        </w:tc>
        <w:tc>
          <w:tcPr>
            <w:tcW w:w="2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 державної влади,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інші бюджетні організації,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заклади, установи, які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овністю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фінансуються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державного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бюджету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F2B86">
        <w:trPr>
          <w:trHeight w:val="1164"/>
        </w:trPr>
        <w:tc>
          <w:tcPr>
            <w:tcW w:w="2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35/100 частин приміщень підвалу, першого, другого поверхів № 103 від загальної площі 1377,2 кв.м</w:t>
            </w: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8F2B8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Підвал  </w:t>
            </w:r>
          </w:p>
          <w:p w:rsidR="008F2B86" w:rsidRDefault="00BF6A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Другий</w:t>
            </w:r>
          </w:p>
        </w:tc>
        <w:tc>
          <w:tcPr>
            <w:tcW w:w="9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482,6</w:t>
            </w:r>
          </w:p>
        </w:tc>
        <w:tc>
          <w:tcPr>
            <w:tcW w:w="2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 державної влади,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інші бюджетні організації,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заклади, установи, які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овністю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фінансуються </w:t>
            </w:r>
          </w:p>
          <w:p w:rsidR="008F2B86" w:rsidRDefault="00BF6A5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державного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бюджету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8F2B86" w:rsidRDefault="008F2B8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F2B86" w:rsidRDefault="008F2B8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за зверненням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>Комунального закладу початкової спеціалізованої освіти “Мистецька школа № 4”</w:t>
      </w:r>
      <w:r>
        <w:rPr>
          <w:rFonts w:ascii="Times New Roman" w:hAnsi="Times New Roman"/>
          <w:sz w:val="28"/>
          <w:szCs w:val="28"/>
          <w:lang w:val="uk-UA"/>
        </w:rPr>
        <w:t xml:space="preserve"> щодо передачі 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  <w:t xml:space="preserve">на баланс 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>закладу (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  <w:t>закріп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>лення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  <w:t xml:space="preserve"> на праві оперативного управління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  <w:t xml:space="preserve"> нежилих приміщень загально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>ю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  <w:t xml:space="preserve"> площ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>ею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  <w:t xml:space="preserve"> 1112,5 кв.м, що розташовані за адресою: 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  <w:t>м. Одеса, вул. Віталія Нестеренка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 xml:space="preserve"> (Академіка Воробйова)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  <w:t>, 26.</w:t>
      </w: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 Славський О.В., Стоянов Ф.Ф., Крижалко Л.М., Літвінов С.І., Сеник</w:t>
      </w:r>
      <w:r>
        <w:rPr>
          <w:rFonts w:ascii="Times New Roman" w:hAnsi="Times New Roman"/>
          <w:sz w:val="28"/>
          <w:szCs w:val="28"/>
          <w:lang w:val="uk-UA"/>
        </w:rPr>
        <w:t xml:space="preserve"> Р.В., Антонішак О.С., </w:t>
      </w: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Голосували за рекомендацію комісії:</w:t>
      </w:r>
    </w:p>
    <w:p w:rsidR="008F2B86" w:rsidRDefault="00BF6A55">
      <w:pPr>
        <w:spacing w:after="0" w:line="240" w:lineRule="auto"/>
        <w:ind w:firstLineChars="157" w:firstLine="44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За - одноголосно.</w:t>
      </w: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ВИСНОВОК: Звернутися на адресу </w:t>
      </w:r>
      <w:r>
        <w:rPr>
          <w:rFonts w:ascii="Times New Roman" w:hAnsi="Times New Roman"/>
          <w:sz w:val="28"/>
          <w:szCs w:val="28"/>
          <w:lang w:val="uk-UA"/>
        </w:rPr>
        <w:t xml:space="preserve">Департаменту міжнародного співробітництва, культури та маркетингу Одеської міської ради щодо надання інформації про доцільність передачі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Комунальному закладу початкової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спеціалізованої освіти “Мистецька школа № 4”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499E"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 xml:space="preserve">на баланс 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>закладу (</w:t>
      </w:r>
      <w:r w:rsidRPr="00A1499E"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>закріп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>лення</w:t>
      </w:r>
      <w:r w:rsidRPr="00A1499E"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 xml:space="preserve"> на праві оперативного управління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>)</w:t>
      </w:r>
      <w:r w:rsidRPr="00A1499E"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 xml:space="preserve"> нежилих приміщень загально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>ю</w:t>
      </w:r>
      <w:r w:rsidRPr="00A1499E"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 xml:space="preserve"> площ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>ею</w:t>
      </w:r>
      <w:r w:rsidRPr="00A1499E"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  <w:t xml:space="preserve">1112,5 кв.м, що розташовані за адресою: 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  <w:t>м. Одеса, вул. Віталія Нестеренка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 xml:space="preserve"> (Ака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>деміка Воробйова)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  <w:t>, 26.</w:t>
      </w:r>
    </w:p>
    <w:p w:rsidR="008F2B86" w:rsidRDefault="008F2B86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</w:pPr>
    </w:p>
    <w:p w:rsidR="008F2B86" w:rsidRDefault="008F2B86">
      <w:pPr>
        <w:spacing w:after="0" w:line="240" w:lineRule="auto"/>
        <w:ind w:firstLineChars="157" w:firstLine="440"/>
        <w:jc w:val="both"/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</w:rPr>
      </w:pP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 xml:space="preserve">СЛУХАЛИ: Інформацію директора Департаменту економічного розвитку Одеської міської ради Андрія Розова щодо </w:t>
      </w:r>
      <w:r>
        <w:rPr>
          <w:rFonts w:ascii="Times New Roman" w:hAnsi="Times New Roman"/>
          <w:sz w:val="28"/>
          <w:szCs w:val="28"/>
          <w:lang w:val="uk-UA"/>
        </w:rPr>
        <w:t xml:space="preserve">резолюції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громадських організацій міста </w:t>
      </w:r>
      <w:r>
        <w:rPr>
          <w:rFonts w:ascii="Times New Roman" w:hAnsi="Times New Roman"/>
          <w:sz w:val="28"/>
          <w:szCs w:val="28"/>
          <w:lang w:val="uk-UA"/>
        </w:rPr>
        <w:t xml:space="preserve">публічного обговорення Стратегії розвитку територіальної громади міста Одеси до 2027 </w:t>
      </w:r>
      <w:r>
        <w:rPr>
          <w:rFonts w:ascii="Times New Roman" w:hAnsi="Times New Roman"/>
          <w:sz w:val="28"/>
          <w:szCs w:val="28"/>
          <w:lang w:val="uk-UA"/>
        </w:rPr>
        <w:t xml:space="preserve">року.  </w:t>
      </w: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 Славський О.В., Антонішак О.С., Сеник Р.В.</w:t>
      </w: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Відповідно до інформації </w:t>
      </w:r>
      <w:r>
        <w:rPr>
          <w:rFonts w:ascii="Times New Roman" w:eastAsia="SimSun" w:hAnsi="Times New Roman"/>
          <w:color w:val="1B1D1F"/>
          <w:sz w:val="28"/>
          <w:szCs w:val="28"/>
          <w:shd w:val="clear" w:color="auto" w:fill="FFFFFF"/>
          <w:lang w:val="uk-UA"/>
        </w:rPr>
        <w:t>директора Департаменту економічного розвитку Одеської міської ради Андрія Розова прийняте наступне:</w:t>
      </w:r>
    </w:p>
    <w:p w:rsidR="008F2B86" w:rsidRDefault="00BF6A55">
      <w:pPr>
        <w:spacing w:after="0" w:line="240" w:lineRule="auto"/>
        <w:ind w:firstLineChars="157" w:firstLine="37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Щодо пропозиції створити Стратегічний комітет як консультативно-дорадчий орган при впровадженні Стратегії розвитку та внести відповідні зміни до розділу 6 проєкту Стратегії. </w:t>
      </w:r>
    </w:p>
    <w:p w:rsidR="008F2B86" w:rsidRDefault="00BF6A55">
      <w:pPr>
        <w:spacing w:after="0" w:line="240" w:lineRule="auto"/>
        <w:ind w:firstLineChars="157" w:firstLine="378"/>
        <w:jc w:val="both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Розділ 6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222494156"/>
      <w:r>
        <w:rPr>
          <w:rFonts w:ascii="Times New Roman" w:hAnsi="Times New Roman"/>
          <w:sz w:val="24"/>
          <w:szCs w:val="24"/>
        </w:rPr>
        <w:t xml:space="preserve">«Моніторинг реалізації Стратегії» проєкту Стратегії розвитку </w:t>
      </w:r>
      <w:bookmarkEnd w:id="0"/>
      <w:r>
        <w:rPr>
          <w:rFonts w:ascii="Times New Roman" w:hAnsi="Times New Roman"/>
          <w:sz w:val="24"/>
          <w:szCs w:val="24"/>
        </w:rPr>
        <w:t>територіаль</w:t>
      </w:r>
      <w:r>
        <w:rPr>
          <w:rFonts w:ascii="Times New Roman" w:hAnsi="Times New Roman"/>
          <w:sz w:val="24"/>
          <w:szCs w:val="24"/>
        </w:rPr>
        <w:t xml:space="preserve">ної громади міста Одеси до 2027 року </w:t>
      </w:r>
      <w:r>
        <w:rPr>
          <w:rFonts w:ascii="Times New Roman" w:hAnsi="Times New Roman"/>
          <w:b/>
          <w:bCs/>
          <w:sz w:val="24"/>
          <w:szCs w:val="24"/>
        </w:rPr>
        <w:t>розроблено та викладено відповідно до пункту 2.11. Методичних рекомендацій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щодо порядку розроблення, затвердження, реалізації, проведення моніторингу та оцінювання реалізації стратегій розвитку територіальних громад,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тверджених </w:t>
      </w:r>
      <w:r>
        <w:rPr>
          <w:rFonts w:ascii="Times New Roman" w:eastAsia="Cambria" w:hAnsi="Times New Roman"/>
          <w:sz w:val="24"/>
          <w:szCs w:val="24"/>
        </w:rPr>
        <w:t>наказом Міністерства розвитку громад та територій України від 21 грудня 2022 року № 265, зокрема визначено систему показників, строки проведення моніторингу та оцінювання реалізації Стратегії.</w:t>
      </w:r>
    </w:p>
    <w:p w:rsidR="008F2B86" w:rsidRDefault="00BF6A55">
      <w:pPr>
        <w:spacing w:after="0" w:line="240" w:lineRule="auto"/>
        <w:ind w:firstLineChars="157" w:firstLine="377"/>
        <w:jc w:val="both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Оскільки вищезазначені Методичні рекомендації не міс</w:t>
      </w:r>
      <w:r>
        <w:rPr>
          <w:rFonts w:ascii="Times New Roman" w:eastAsia="Cambria" w:hAnsi="Times New Roman"/>
          <w:sz w:val="24"/>
          <w:szCs w:val="24"/>
        </w:rPr>
        <w:t xml:space="preserve">тять вимоги створювати та вказувати у стратегії розвитку територіальної громади консультативно-дорадчий орган, що буде здійснювати моніторинг стратегії розвитку територіальної громади, </w:t>
      </w:r>
      <w:r>
        <w:rPr>
          <w:rFonts w:ascii="Times New Roman" w:eastAsia="Cambria" w:hAnsi="Times New Roman"/>
          <w:b/>
          <w:bCs/>
          <w:sz w:val="24"/>
          <w:szCs w:val="24"/>
        </w:rPr>
        <w:t>вважаємо недоцільним вносити зміни</w:t>
      </w:r>
      <w:r>
        <w:rPr>
          <w:rFonts w:ascii="Times New Roman" w:eastAsia="Cambria" w:hAnsi="Times New Roman"/>
          <w:sz w:val="24"/>
          <w:szCs w:val="24"/>
        </w:rPr>
        <w:t xml:space="preserve"> до проєкту Стратегії розвитку терито</w:t>
      </w:r>
      <w:r>
        <w:rPr>
          <w:rFonts w:ascii="Times New Roman" w:eastAsia="Cambria" w:hAnsi="Times New Roman"/>
          <w:sz w:val="24"/>
          <w:szCs w:val="24"/>
        </w:rPr>
        <w:t>ріальної громади міста Одеси до 2027 року.</w:t>
      </w:r>
    </w:p>
    <w:p w:rsidR="008F2B86" w:rsidRDefault="00BF6A55">
      <w:pPr>
        <w:spacing w:after="0" w:line="240" w:lineRule="auto"/>
        <w:ind w:firstLineChars="157" w:firstLine="377"/>
        <w:jc w:val="both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Поряд з цим, підтримуємо пропозицію щодо створення розпорядженням Одеського міського голови консультативно-дорадчого органу (робочої групи, стратегічного комітету, координаційної ради) для моніторингу впровадження</w:t>
      </w:r>
      <w:r>
        <w:rPr>
          <w:rFonts w:ascii="Times New Roman" w:eastAsia="Cambria" w:hAnsi="Times New Roman"/>
          <w:sz w:val="24"/>
          <w:szCs w:val="24"/>
        </w:rPr>
        <w:t xml:space="preserve"> Стратегії розвитку територіальної громади міста Одеси до 2027 року та Плану заходів на 2026-2027 роки з реалізації Стратегії розвитку територіальної громади міста Одеси до 2027 року, до складу якого будуть включені представники виконавчих органів Одеської</w:t>
      </w:r>
      <w:r>
        <w:rPr>
          <w:rFonts w:ascii="Times New Roman" w:eastAsia="Cambria" w:hAnsi="Times New Roman"/>
          <w:sz w:val="24"/>
          <w:szCs w:val="24"/>
        </w:rPr>
        <w:t xml:space="preserve"> міської ради, депутатів Одеської міської ради, громадських організацій та інших стейкхолдерів.</w:t>
      </w:r>
    </w:p>
    <w:p w:rsidR="008F2B86" w:rsidRDefault="00BF6A55">
      <w:pPr>
        <w:spacing w:after="0" w:line="240" w:lineRule="auto"/>
        <w:ind w:firstLineChars="157" w:firstLine="377"/>
        <w:jc w:val="both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Крім того, організаційні питання моніторингу Стратегії будуть покладені на Департамент економічного розвитку Одеської міської ради, оскільки, відповідно до пунк</w:t>
      </w:r>
      <w:r>
        <w:rPr>
          <w:rFonts w:ascii="Times New Roman" w:eastAsia="Cambria" w:hAnsi="Times New Roman"/>
          <w:sz w:val="24"/>
          <w:szCs w:val="24"/>
        </w:rPr>
        <w:t xml:space="preserve">ту 2.2.1. Положення про Департамент економічного розвитку Одеської міської ради, затвердженого рішенням Одеської міської ради від 25.04.2018 </w:t>
      </w:r>
      <w:r>
        <w:rPr>
          <w:rFonts w:ascii="Times New Roman" w:eastAsia="Cambria" w:hAnsi="Times New Roman"/>
          <w:sz w:val="24"/>
          <w:szCs w:val="24"/>
        </w:rPr>
        <w:br/>
        <w:t>№ 3172-</w:t>
      </w:r>
      <w:r>
        <w:rPr>
          <w:rFonts w:ascii="Times New Roman" w:eastAsia="Cambria" w:hAnsi="Times New Roman"/>
          <w:sz w:val="24"/>
          <w:szCs w:val="24"/>
          <w:lang w:val="en-US"/>
        </w:rPr>
        <w:t>VII</w:t>
      </w:r>
      <w:r>
        <w:rPr>
          <w:rFonts w:ascii="Times New Roman" w:eastAsia="Cambria" w:hAnsi="Times New Roman"/>
          <w:sz w:val="24"/>
          <w:szCs w:val="24"/>
        </w:rPr>
        <w:t xml:space="preserve">, розробка, координація та моніторинг виконання Стратегії розвитку є одним із основних завдань </w:t>
      </w:r>
      <w:r>
        <w:rPr>
          <w:rFonts w:ascii="Times New Roman" w:eastAsia="Cambria" w:hAnsi="Times New Roman"/>
          <w:sz w:val="24"/>
          <w:szCs w:val="24"/>
        </w:rPr>
        <w:t>Департаменту економічного розвитку Одеської міської ради.</w:t>
      </w:r>
    </w:p>
    <w:p w:rsidR="008F2B86" w:rsidRDefault="00BF6A55">
      <w:pPr>
        <w:spacing w:after="0" w:line="240" w:lineRule="auto"/>
        <w:ind w:firstLineChars="157" w:firstLine="3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Щодо пропозиції взяти до уваги при розробці Плану заходів з реалізації Стратегії пропозиції громадськості, напрацьовані під час презентації проєкту Стратегії 09.01.2026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F2B86" w:rsidRDefault="00BF6A55">
      <w:pPr>
        <w:spacing w:after="0" w:line="240" w:lineRule="auto"/>
        <w:ind w:firstLineChars="157" w:firstLine="3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пункту 3.3. М</w:t>
      </w:r>
      <w:r>
        <w:rPr>
          <w:rFonts w:ascii="Times New Roman" w:hAnsi="Times New Roman"/>
          <w:sz w:val="24"/>
          <w:szCs w:val="24"/>
        </w:rPr>
        <w:t xml:space="preserve">етодичних рекомендацій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щодо порядку розроблення, затвердження, реалізації, проведення моніторингу та оцінювання реалізації стратегій розвитку територіальних громад, затверджених </w:t>
      </w:r>
      <w:r>
        <w:rPr>
          <w:rFonts w:ascii="Times New Roman" w:eastAsia="Cambria" w:hAnsi="Times New Roman"/>
          <w:sz w:val="24"/>
          <w:szCs w:val="24"/>
        </w:rPr>
        <w:t>наказом Міністерства розвитку громад та територій України від 21 грудня 2022 р</w:t>
      </w:r>
      <w:r>
        <w:rPr>
          <w:rFonts w:ascii="Times New Roman" w:eastAsia="Cambria" w:hAnsi="Times New Roman"/>
          <w:sz w:val="24"/>
          <w:szCs w:val="24"/>
        </w:rPr>
        <w:t xml:space="preserve">оку </w:t>
      </w:r>
      <w:r>
        <w:rPr>
          <w:rFonts w:ascii="Times New Roman" w:eastAsia="Cambria" w:hAnsi="Times New Roman"/>
          <w:sz w:val="24"/>
          <w:szCs w:val="24"/>
        </w:rPr>
        <w:br/>
      </w:r>
      <w:r>
        <w:rPr>
          <w:rFonts w:ascii="Times New Roman" w:eastAsia="Cambria" w:hAnsi="Times New Roman"/>
          <w:sz w:val="24"/>
          <w:szCs w:val="24"/>
        </w:rPr>
        <w:lastRenderedPageBreak/>
        <w:t xml:space="preserve">№ 265 для розроблення Плану заходів на </w:t>
      </w:r>
      <w:r>
        <w:rPr>
          <w:rFonts w:ascii="Times New Roman" w:hAnsi="Times New Roman"/>
          <w:sz w:val="24"/>
          <w:szCs w:val="24"/>
        </w:rPr>
        <w:t xml:space="preserve">офіційному сайті Одеської міської ради </w:t>
      </w:r>
      <w:r>
        <w:rPr>
          <w:rFonts w:ascii="Times New Roman" w:eastAsia="Cambria" w:hAnsi="Times New Roman"/>
          <w:sz w:val="24"/>
          <w:szCs w:val="24"/>
        </w:rPr>
        <w:t>буде розміщено повідомлення про початок</w:t>
      </w:r>
      <w:r>
        <w:rPr>
          <w:rFonts w:ascii="Times New Roman" w:hAnsi="Times New Roman"/>
          <w:sz w:val="24"/>
          <w:szCs w:val="24"/>
        </w:rPr>
        <w:t xml:space="preserve"> збору проєктних пропозицій із зазначенням вимог щодо оформлення пропозицій, терміну та способу їх подання, а також критерії, яким маю</w:t>
      </w:r>
      <w:r>
        <w:rPr>
          <w:rFonts w:ascii="Times New Roman" w:hAnsi="Times New Roman"/>
          <w:sz w:val="24"/>
          <w:szCs w:val="24"/>
        </w:rPr>
        <w:t>ть відповідати зазначені проєкти.</w:t>
      </w:r>
    </w:p>
    <w:p w:rsidR="008F2B86" w:rsidRDefault="00BF6A55">
      <w:pPr>
        <w:spacing w:after="0" w:line="240" w:lineRule="auto"/>
        <w:ind w:firstLineChars="157" w:firstLine="3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Зазначене повідомлення буде оприлюднено після проведення першого засідання робочої групи з розроблення Плану заходів на 2026-2027 роки з реалізації Стратегії розвитку територіальної громади міста Одеси до 2027 року.</w:t>
      </w:r>
    </w:p>
    <w:p w:rsidR="008F2B86" w:rsidRDefault="00BF6A55">
      <w:pPr>
        <w:spacing w:after="0" w:line="240" w:lineRule="auto"/>
        <w:ind w:firstLineChars="157" w:firstLine="3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Тому п</w:t>
      </w:r>
      <w:r>
        <w:rPr>
          <w:rFonts w:ascii="Times New Roman" w:hAnsi="Times New Roman"/>
          <w:sz w:val="24"/>
          <w:szCs w:val="24"/>
        </w:rPr>
        <w:t>ропонуємо проектні пропозиції громадськості, які були напрацьовані під час події з презентації проєкту Стратегії 09.01.2026, подати для включення до Плану заходів відповідно до процедури, яка визначена вищезазначеними Методичними рекомендаціями.</w:t>
      </w:r>
    </w:p>
    <w:p w:rsidR="008F2B86" w:rsidRDefault="00BF6A55">
      <w:pPr>
        <w:spacing w:after="0" w:line="240" w:lineRule="auto"/>
        <w:ind w:firstLineChars="157" w:firstLine="3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Згідно з п</w:t>
      </w:r>
      <w:r>
        <w:rPr>
          <w:rFonts w:ascii="Times New Roman" w:hAnsi="Times New Roman"/>
          <w:sz w:val="24"/>
          <w:szCs w:val="24"/>
        </w:rPr>
        <w:t>унктом 3.4. зазначених Методичних рекомендацій відбір проєктних пропозицій місцевого розвитку до Плану заходів здійснюватиметься на засіданні робочої групи з розроблення Плану заходів на 2026-2027 роки з реалізації Стратегії розвитку територіальної громади</w:t>
      </w:r>
      <w:r>
        <w:rPr>
          <w:rFonts w:ascii="Times New Roman" w:hAnsi="Times New Roman"/>
          <w:sz w:val="24"/>
          <w:szCs w:val="24"/>
        </w:rPr>
        <w:t xml:space="preserve"> міста Одеси до 2027 року, шляхом опрацювання та узагальнення отриманих пропозицій.</w:t>
      </w:r>
    </w:p>
    <w:p w:rsidR="008F2B86" w:rsidRDefault="00BF6A55">
      <w:pPr>
        <w:spacing w:after="0" w:line="240" w:lineRule="auto"/>
        <w:ind w:firstLineChars="157" w:firstLine="37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Щодо пропозицій зберегти та інституціоналізувати підхід залучення громадян і профільної експертизи до стратегічного планування.</w:t>
      </w:r>
    </w:p>
    <w:p w:rsidR="008F2B86" w:rsidRDefault="00BF6A55">
      <w:pPr>
        <w:spacing w:after="0" w:line="240" w:lineRule="auto"/>
        <w:ind w:firstLineChars="157" w:firstLine="377"/>
        <w:jc w:val="both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Зазначений підхід буде збережено шляхом ство</w:t>
      </w:r>
      <w:r>
        <w:rPr>
          <w:rFonts w:ascii="Times New Roman" w:hAnsi="Times New Roman"/>
          <w:sz w:val="24"/>
          <w:szCs w:val="24"/>
        </w:rPr>
        <w:t>рення робочої групи/</w:t>
      </w:r>
      <w:r>
        <w:rPr>
          <w:rFonts w:ascii="Times New Roman" w:eastAsia="Cambria" w:hAnsi="Times New Roman"/>
          <w:sz w:val="24"/>
          <w:szCs w:val="24"/>
        </w:rPr>
        <w:t xml:space="preserve"> стратегічного комітету/координаційної ради для моніторингу впровадження Стратегії розвитку територіальної громади міста Одеси до 2027 року та Плану заходів на 2026-2027 роки з реалізації Стратегії розвитку територіальної громади міста </w:t>
      </w:r>
      <w:r>
        <w:rPr>
          <w:rFonts w:ascii="Times New Roman" w:eastAsia="Cambria" w:hAnsi="Times New Roman"/>
          <w:sz w:val="24"/>
          <w:szCs w:val="24"/>
        </w:rPr>
        <w:t>Одеси до 2027 року. До складу будуть включені представники виконавчих органів Одеської міської ради, депутатів Одеської міської ради, громадських організацій та інших стейкхолдерів.</w:t>
      </w:r>
    </w:p>
    <w:p w:rsidR="008F2B86" w:rsidRDefault="008F2B86">
      <w:pPr>
        <w:spacing w:after="0" w:line="240" w:lineRule="auto"/>
        <w:ind w:firstLineChars="128" w:firstLine="35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2B86" w:rsidRDefault="008F2B86">
      <w:pPr>
        <w:spacing w:after="0" w:line="240" w:lineRule="auto"/>
        <w:ind w:firstLineChars="128" w:firstLine="35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2B86" w:rsidRDefault="00BF6A55">
      <w:pPr>
        <w:spacing w:after="0" w:line="240" w:lineRule="auto"/>
        <w:ind w:right="115"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СЛУХАЛИ: Інформацію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щодо </w:t>
      </w:r>
      <w:r w:rsidRPr="00A1499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проєкту рішення “</w:t>
      </w:r>
      <w:r w:rsidRPr="00A149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внесення змін до Плану діяльності Одеської міської ради з підготовки проектів регуляторних актів на 2026 рік, затвердженого рішенням Одеської міської ради 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</w:t>
      </w:r>
      <w:r w:rsidRPr="00A1499E">
        <w:rPr>
          <w:rFonts w:ascii="Times New Roman" w:hAnsi="Times New Roman"/>
          <w:color w:val="000000" w:themeColor="text1"/>
          <w:sz w:val="28"/>
          <w:szCs w:val="28"/>
          <w:lang w:val="uk-UA"/>
        </w:rPr>
        <w:t>19 листопада 2025 року № 3786-</w:t>
      </w:r>
      <w:r>
        <w:rPr>
          <w:rFonts w:ascii="Times New Roman" w:hAnsi="Times New Roman"/>
          <w:color w:val="000000" w:themeColor="text1"/>
          <w:sz w:val="28"/>
          <w:szCs w:val="28"/>
        </w:rPr>
        <w:t>VIII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” (звернення депутатів Одеської міської ради Оле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га Етнаровича та Олексія Потапського № 260/2-мр від        23.02.2026 року).</w:t>
      </w:r>
    </w:p>
    <w:p w:rsidR="008F2B86" w:rsidRDefault="00BF6A55">
      <w:pPr>
        <w:spacing w:after="0" w:line="240" w:lineRule="auto"/>
        <w:ind w:right="115"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Виступили: Славський О.В., Антонішак О.С., Мікуленко В.В., Сеник Р.В., Етнарович О.В., Ахмеров О.О.</w:t>
      </w:r>
    </w:p>
    <w:p w:rsidR="008F2B86" w:rsidRDefault="00BF6A55">
      <w:pPr>
        <w:spacing w:after="0" w:line="240" w:lineRule="auto"/>
        <w:ind w:right="115"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Інформацію прийняти до відома. </w:t>
      </w:r>
    </w:p>
    <w:p w:rsidR="008F2B86" w:rsidRDefault="008F2B86">
      <w:pPr>
        <w:spacing w:after="0" w:line="240" w:lineRule="auto"/>
        <w:ind w:right="115"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2B86" w:rsidRDefault="008F2B86">
      <w:pPr>
        <w:spacing w:after="0" w:line="240" w:lineRule="auto"/>
        <w:ind w:right="115"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СЛУХАЛИ: Інформацію Хаджибейської р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айонної адміністрації Одеської міської ради на звернення голови правління ОСББ “Филатова 92” щодо погашення заборгованості  за користування житловим приміщення № 54, розташованим за адресою: м. Одеса, вул. Академіка Філатова, 92.</w:t>
      </w:r>
    </w:p>
    <w:p w:rsidR="008F2B86" w:rsidRDefault="00BF6A55">
      <w:pPr>
        <w:spacing w:after="0" w:line="240" w:lineRule="auto"/>
        <w:ind w:right="115"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Виступили: Славський О.В.,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Антонішак О.С.</w:t>
      </w:r>
    </w:p>
    <w:p w:rsidR="008F2B86" w:rsidRDefault="00BF6A55">
      <w:pPr>
        <w:spacing w:after="0" w:line="240" w:lineRule="auto"/>
        <w:ind w:right="115"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Голосували за висновок комісії:</w:t>
      </w:r>
    </w:p>
    <w:p w:rsidR="008F2B86" w:rsidRDefault="00BF6A55">
      <w:pPr>
        <w:spacing w:after="0" w:line="240" w:lineRule="auto"/>
        <w:ind w:right="115" w:firstLineChars="157" w:firstLine="44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8F2B86" w:rsidRDefault="00BF6A55">
      <w:pPr>
        <w:spacing w:after="0" w:line="240" w:lineRule="auto"/>
        <w:ind w:right="115"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ВИСНОВОК: Відповідно  до листа Хаджибейської районної адміністрації Одеської міської ради  № 0731/01-20 від 18.02.2026 року за даними Департаменту надання адміністративних послуг Одеської мі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ської ради 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приміщенні за адресою: м.  Одеса, вул. Академіка Філатова, 92, кв. 54 зареєстровані Москаленко Наталія Костянтинівна, Москаленко Ольга Володимирівна та Москаленко Володимир Володимирович. </w:t>
      </w:r>
    </w:p>
    <w:p w:rsidR="008F2B86" w:rsidRPr="00A1499E" w:rsidRDefault="00BF6A55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Відповідно до пункту 4 статті 12 Закону України “Про 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собливості здійснення права власності у багатоквартирному будинку” з</w:t>
      </w:r>
      <w:r w:rsidRPr="00A1499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обов’язання із здійснення витрат на управління багатоквартирним будинком у разі здачі в найм (оренду) квартир та/або нежитлових приміщень державної або комунальної власності несуть наймачі</w:t>
      </w:r>
      <w:r w:rsidRPr="00A1499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(орендарі) таких квартир та/або приміщень.</w:t>
      </w: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Приймаючи до уваги вищевказане,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голова правління ОСББ “Филатова 92” має </w:t>
      </w:r>
      <w:r>
        <w:rPr>
          <w:rFonts w:ascii="Times New Roman" w:eastAsia="SimSun" w:hAnsi="Times New Roman"/>
          <w:color w:val="000000" w:themeColor="text1"/>
          <w:sz w:val="28"/>
          <w:szCs w:val="28"/>
        </w:rPr>
        <w:t xml:space="preserve">гарантовано Конституцією України та Цивільним процесуальним кодексом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право </w:t>
      </w:r>
      <w:r>
        <w:rPr>
          <w:rFonts w:ascii="Times New Roman" w:eastAsia="SimSun" w:hAnsi="Times New Roman"/>
          <w:color w:val="000000" w:themeColor="text1"/>
          <w:sz w:val="28"/>
          <w:szCs w:val="28"/>
        </w:rPr>
        <w:t>на звернення до суду з позовом про стягнення заборгованості</w:t>
      </w:r>
      <w:r>
        <w:rPr>
          <w:rFonts w:ascii="Times New Roman" w:eastAsia="SimSu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eastAsia="SimSun" w:hAnsi="Times New Roman"/>
          <w:color w:val="000000" w:themeColor="text1"/>
          <w:sz w:val="28"/>
          <w:szCs w:val="28"/>
        </w:rPr>
        <w:t xml:space="preserve"> </w:t>
      </w:r>
    </w:p>
    <w:p w:rsidR="008F2B86" w:rsidRDefault="008F2B8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F2B86" w:rsidRDefault="008F2B86">
      <w:pPr>
        <w:spacing w:after="0" w:line="240" w:lineRule="auto"/>
        <w:ind w:right="115"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2B86" w:rsidRDefault="00BF6A55">
      <w:pPr>
        <w:spacing w:after="0" w:line="240" w:lineRule="auto"/>
        <w:ind w:right="115"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2B86" w:rsidRDefault="008F2B86">
      <w:pPr>
        <w:spacing w:after="0" w:line="240" w:lineRule="auto"/>
        <w:ind w:firstLineChars="128" w:firstLine="35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2B86" w:rsidRDefault="008F2B86">
      <w:pPr>
        <w:tabs>
          <w:tab w:val="left" w:pos="8520"/>
        </w:tabs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СЛАВСЬКИЙ</w:t>
      </w:r>
    </w:p>
    <w:p w:rsidR="008F2B86" w:rsidRDefault="008F2B86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2B86" w:rsidRDefault="008F2B86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секретаря на </w:t>
      </w:r>
    </w:p>
    <w:p w:rsidR="008F2B86" w:rsidRDefault="00BF6A55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засіданні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Оксана АНТОНІШАК</w:t>
      </w:r>
      <w:bookmarkStart w:id="1" w:name="_GoBack"/>
      <w:bookmarkEnd w:id="1"/>
    </w:p>
    <w:sectPr w:rsidR="008F2B86">
      <w:pgSz w:w="11906" w:h="16838"/>
      <w:pgMar w:top="1440" w:right="64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55" w:rsidRDefault="00BF6A55">
      <w:pPr>
        <w:spacing w:line="240" w:lineRule="auto"/>
      </w:pPr>
      <w:r>
        <w:separator/>
      </w:r>
    </w:p>
  </w:endnote>
  <w:endnote w:type="continuationSeparator" w:id="0">
    <w:p w:rsidR="00BF6A55" w:rsidRDefault="00BF6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Liberation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55" w:rsidRDefault="00BF6A55">
      <w:pPr>
        <w:spacing w:after="0"/>
      </w:pPr>
      <w:r>
        <w:separator/>
      </w:r>
    </w:p>
  </w:footnote>
  <w:footnote w:type="continuationSeparator" w:id="0">
    <w:p w:rsidR="00BF6A55" w:rsidRDefault="00BF6A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19326EA"/>
    <w:multiLevelType w:val="singleLevel"/>
    <w:tmpl w:val="919326EA"/>
    <w:lvl w:ilvl="0">
      <w:start w:val="1"/>
      <w:numFmt w:val="decimal"/>
      <w:suff w:val="space"/>
      <w:lvlText w:val="%1."/>
      <w:lvlJc w:val="left"/>
    </w:lvl>
  </w:abstractNum>
  <w:abstractNum w:abstractNumId="1">
    <w:nsid w:val="541D1C58"/>
    <w:multiLevelType w:val="multilevel"/>
    <w:tmpl w:val="541D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13FA1"/>
    <w:rsid w:val="008F2B86"/>
    <w:rsid w:val="00A1499E"/>
    <w:rsid w:val="00BF6A55"/>
    <w:rsid w:val="7EB1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ADC88B-21C7-4AF6-A083-F8EC3574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8890</Words>
  <Characters>5068</Characters>
  <Application>Microsoft Office Word</Application>
  <DocSecurity>0</DocSecurity>
  <Lines>42</Lines>
  <Paragraphs>27</Paragraphs>
  <ScaleCrop>false</ScaleCrop>
  <Company>SPecialiST RePack</Company>
  <LinksUpToDate>false</LinksUpToDate>
  <CharactersWithSpaces>13931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dcterms:created xsi:type="dcterms:W3CDTF">2026-02-26T09:28:00Z</dcterms:created>
  <dcterms:modified xsi:type="dcterms:W3CDTF">2026-02-26T15:04:00Z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BA06C7A343784311B956402B7EA8B30A_11</vt:lpwstr>
  </property>
</Properties>
</file>